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36F7" w:rsidRDefault="003E36F7" w:rsidP="003E36F7">
      <w:pPr>
        <w:rPr>
          <w:sz w:val="24"/>
          <w:szCs w:val="24"/>
        </w:rPr>
      </w:pPr>
      <w:r w:rsidRPr="0031239B">
        <w:rPr>
          <w:sz w:val="24"/>
          <w:szCs w:val="24"/>
        </w:rPr>
        <w:t>The Institutional Research</w:t>
      </w:r>
      <w:r w:rsidR="00FC644E">
        <w:rPr>
          <w:sz w:val="24"/>
          <w:szCs w:val="24"/>
        </w:rPr>
        <w:t xml:space="preserve"> function</w:t>
      </w:r>
      <w:r w:rsidR="000A4656">
        <w:rPr>
          <w:sz w:val="24"/>
          <w:szCs w:val="24"/>
        </w:rPr>
        <w:t xml:space="preserve"> has examined</w:t>
      </w:r>
      <w:r w:rsidR="00FC644E">
        <w:rPr>
          <w:sz w:val="24"/>
          <w:szCs w:val="24"/>
        </w:rPr>
        <w:t xml:space="preserve"> </w:t>
      </w:r>
      <w:r w:rsidRPr="0031239B">
        <w:rPr>
          <w:sz w:val="24"/>
          <w:szCs w:val="24"/>
        </w:rPr>
        <w:t>enrollment</w:t>
      </w:r>
      <w:r>
        <w:rPr>
          <w:sz w:val="24"/>
          <w:szCs w:val="24"/>
        </w:rPr>
        <w:t xml:space="preserve"> data</w:t>
      </w:r>
      <w:r w:rsidR="008162D5">
        <w:rPr>
          <w:sz w:val="24"/>
          <w:szCs w:val="24"/>
        </w:rPr>
        <w:t xml:space="preserve"> </w:t>
      </w:r>
      <w:r w:rsidR="00FC644E">
        <w:rPr>
          <w:sz w:val="24"/>
          <w:szCs w:val="24"/>
        </w:rPr>
        <w:t>t</w:t>
      </w:r>
      <w:r>
        <w:rPr>
          <w:sz w:val="24"/>
          <w:szCs w:val="24"/>
        </w:rPr>
        <w:t xml:space="preserve">o determine whether students who </w:t>
      </w:r>
      <w:r w:rsidR="00AB2B87">
        <w:rPr>
          <w:sz w:val="24"/>
          <w:szCs w:val="24"/>
        </w:rPr>
        <w:t xml:space="preserve">have </w:t>
      </w:r>
      <w:r>
        <w:rPr>
          <w:sz w:val="24"/>
          <w:szCs w:val="24"/>
        </w:rPr>
        <w:t>place</w:t>
      </w:r>
      <w:r w:rsidR="00AB2B87">
        <w:rPr>
          <w:sz w:val="24"/>
          <w:szCs w:val="24"/>
        </w:rPr>
        <w:t>d</w:t>
      </w:r>
      <w:r>
        <w:rPr>
          <w:sz w:val="24"/>
          <w:szCs w:val="24"/>
        </w:rPr>
        <w:t xml:space="preserve"> in</w:t>
      </w:r>
      <w:r w:rsidR="001859FA">
        <w:rPr>
          <w:sz w:val="24"/>
          <w:szCs w:val="24"/>
        </w:rPr>
        <w:t>to</w:t>
      </w:r>
      <w:r>
        <w:rPr>
          <w:sz w:val="24"/>
          <w:szCs w:val="24"/>
        </w:rPr>
        <w:t xml:space="preserve"> </w:t>
      </w:r>
      <w:r w:rsidR="00AB2B87">
        <w:rPr>
          <w:sz w:val="24"/>
          <w:szCs w:val="24"/>
        </w:rPr>
        <w:t xml:space="preserve">a </w:t>
      </w:r>
      <w:r w:rsidRPr="0031239B">
        <w:rPr>
          <w:sz w:val="24"/>
          <w:szCs w:val="24"/>
        </w:rPr>
        <w:t xml:space="preserve">transfer-level </w:t>
      </w:r>
      <w:r w:rsidR="00FC644E" w:rsidRPr="0031239B">
        <w:rPr>
          <w:sz w:val="24"/>
          <w:szCs w:val="24"/>
        </w:rPr>
        <w:t>English</w:t>
      </w:r>
      <w:r w:rsidR="00AB2B87">
        <w:rPr>
          <w:sz w:val="24"/>
          <w:szCs w:val="24"/>
        </w:rPr>
        <w:t xml:space="preserve">, </w:t>
      </w:r>
      <w:r w:rsidRPr="0031239B">
        <w:rPr>
          <w:sz w:val="24"/>
          <w:szCs w:val="24"/>
        </w:rPr>
        <w:t xml:space="preserve">Math </w:t>
      </w:r>
      <w:r w:rsidR="00AB2B87">
        <w:rPr>
          <w:sz w:val="24"/>
          <w:szCs w:val="24"/>
        </w:rPr>
        <w:t xml:space="preserve">and/or ESL </w:t>
      </w:r>
      <w:r w:rsidRPr="0031239B">
        <w:rPr>
          <w:sz w:val="24"/>
          <w:szCs w:val="24"/>
        </w:rPr>
        <w:t>course</w:t>
      </w:r>
      <w:r w:rsidR="00AB2B87">
        <w:rPr>
          <w:sz w:val="24"/>
          <w:szCs w:val="24"/>
        </w:rPr>
        <w:t xml:space="preserve"> since 2018SU</w:t>
      </w:r>
      <w:r w:rsidR="000A4656">
        <w:rPr>
          <w:sz w:val="24"/>
          <w:szCs w:val="24"/>
        </w:rPr>
        <w:t>, have selected courses that align with that pathway</w:t>
      </w:r>
      <w:r w:rsidR="00847370">
        <w:rPr>
          <w:sz w:val="24"/>
          <w:szCs w:val="24"/>
        </w:rPr>
        <w:t xml:space="preserve">. </w:t>
      </w:r>
      <w:r w:rsidR="00A566D9">
        <w:rPr>
          <w:sz w:val="24"/>
          <w:szCs w:val="24"/>
        </w:rPr>
        <w:t xml:space="preserve">As there have been many </w:t>
      </w:r>
      <w:r w:rsidR="00847370">
        <w:rPr>
          <w:sz w:val="24"/>
          <w:szCs w:val="24"/>
        </w:rPr>
        <w:t>opportunities</w:t>
      </w:r>
      <w:r w:rsidR="00A566D9">
        <w:rPr>
          <w:sz w:val="24"/>
          <w:szCs w:val="24"/>
        </w:rPr>
        <w:t xml:space="preserve"> for students</w:t>
      </w:r>
      <w:r w:rsidR="00847370">
        <w:rPr>
          <w:sz w:val="24"/>
          <w:szCs w:val="24"/>
        </w:rPr>
        <w:t xml:space="preserve"> </w:t>
      </w:r>
      <w:r w:rsidR="00D10340">
        <w:rPr>
          <w:sz w:val="24"/>
          <w:szCs w:val="24"/>
        </w:rPr>
        <w:t xml:space="preserve">to </w:t>
      </w:r>
      <w:r w:rsidR="00B96F6F">
        <w:rPr>
          <w:sz w:val="24"/>
          <w:szCs w:val="24"/>
        </w:rPr>
        <w:t>create</w:t>
      </w:r>
      <w:r w:rsidR="00847370">
        <w:rPr>
          <w:sz w:val="24"/>
          <w:szCs w:val="24"/>
        </w:rPr>
        <w:t xml:space="preserve"> </w:t>
      </w:r>
      <w:r w:rsidR="00A566D9">
        <w:rPr>
          <w:sz w:val="24"/>
          <w:szCs w:val="24"/>
        </w:rPr>
        <w:t xml:space="preserve">multiple </w:t>
      </w:r>
      <w:r w:rsidR="00847370">
        <w:rPr>
          <w:sz w:val="24"/>
          <w:szCs w:val="24"/>
        </w:rPr>
        <w:t>placements</w:t>
      </w:r>
      <w:r w:rsidR="00A566D9">
        <w:rPr>
          <w:sz w:val="24"/>
          <w:szCs w:val="24"/>
        </w:rPr>
        <w:t>,</w:t>
      </w:r>
      <w:r w:rsidR="000A4656">
        <w:rPr>
          <w:sz w:val="24"/>
          <w:szCs w:val="24"/>
        </w:rPr>
        <w:t xml:space="preserve"> </w:t>
      </w:r>
      <w:r w:rsidR="00D10340">
        <w:rPr>
          <w:sz w:val="24"/>
          <w:szCs w:val="24"/>
        </w:rPr>
        <w:t>w</w:t>
      </w:r>
      <w:r w:rsidR="00847370">
        <w:rPr>
          <w:sz w:val="24"/>
          <w:szCs w:val="24"/>
        </w:rPr>
        <w:t>e’ve</w:t>
      </w:r>
      <w:r w:rsidR="000A4656">
        <w:rPr>
          <w:sz w:val="24"/>
          <w:szCs w:val="24"/>
        </w:rPr>
        <w:t xml:space="preserve"> used their </w:t>
      </w:r>
      <w:r w:rsidR="00847370">
        <w:rPr>
          <w:sz w:val="24"/>
          <w:szCs w:val="24"/>
        </w:rPr>
        <w:t>first</w:t>
      </w:r>
      <w:r w:rsidR="000A4656">
        <w:rPr>
          <w:sz w:val="24"/>
          <w:szCs w:val="24"/>
        </w:rPr>
        <w:t xml:space="preserve"> placement as the baseline for this review. </w:t>
      </w:r>
      <w:r w:rsidR="00D10340">
        <w:rPr>
          <w:sz w:val="24"/>
          <w:szCs w:val="24"/>
        </w:rPr>
        <w:t>However, the com</w:t>
      </w:r>
      <w:bookmarkStart w:id="0" w:name="_GoBack"/>
      <w:bookmarkEnd w:id="0"/>
      <w:r w:rsidR="00D10340">
        <w:rPr>
          <w:sz w:val="24"/>
          <w:szCs w:val="24"/>
        </w:rPr>
        <w:t xml:space="preserve">bination of placement tables (e.g., </w:t>
      </w:r>
      <w:r w:rsidR="00A566D9">
        <w:rPr>
          <w:sz w:val="24"/>
          <w:szCs w:val="24"/>
        </w:rPr>
        <w:t xml:space="preserve">counselor placements in </w:t>
      </w:r>
      <w:r w:rsidR="00D10340">
        <w:rPr>
          <w:sz w:val="24"/>
          <w:szCs w:val="24"/>
        </w:rPr>
        <w:t xml:space="preserve">STUDENT_NON_COURSE &amp; </w:t>
      </w:r>
      <w:r w:rsidR="00A566D9">
        <w:rPr>
          <w:sz w:val="24"/>
          <w:szCs w:val="24"/>
        </w:rPr>
        <w:t xml:space="preserve">student placement tool in </w:t>
      </w:r>
      <w:r w:rsidR="00D10340">
        <w:rPr>
          <w:sz w:val="24"/>
          <w:szCs w:val="24"/>
        </w:rPr>
        <w:t>X_MM_STUDENT_PLACEMENTS) resulted in multiple placements</w:t>
      </w:r>
      <w:r w:rsidR="00B96F6F">
        <w:rPr>
          <w:sz w:val="24"/>
          <w:szCs w:val="24"/>
        </w:rPr>
        <w:t xml:space="preserve"> during the same academic year, so we’ve made a </w:t>
      </w:r>
      <w:r w:rsidR="00A566D9">
        <w:rPr>
          <w:sz w:val="24"/>
          <w:szCs w:val="24"/>
        </w:rPr>
        <w:t>distinct</w:t>
      </w:r>
      <w:r w:rsidR="00B96F6F">
        <w:rPr>
          <w:sz w:val="24"/>
          <w:szCs w:val="24"/>
        </w:rPr>
        <w:t xml:space="preserve"> ‘Multiple Placement’ group</w:t>
      </w:r>
      <w:r w:rsidR="00A566D9">
        <w:rPr>
          <w:sz w:val="24"/>
          <w:szCs w:val="24"/>
        </w:rPr>
        <w:t xml:space="preserve"> for these student records</w:t>
      </w:r>
      <w:r w:rsidR="00B96F6F">
        <w:rPr>
          <w:sz w:val="24"/>
          <w:szCs w:val="24"/>
        </w:rPr>
        <w:t xml:space="preserve">. </w:t>
      </w:r>
    </w:p>
    <w:p w:rsidR="00FB1CF7" w:rsidRDefault="00FB1CF7" w:rsidP="003E36F7">
      <w:pPr>
        <w:rPr>
          <w:sz w:val="24"/>
          <w:szCs w:val="24"/>
        </w:rPr>
      </w:pPr>
    </w:p>
    <w:p w:rsidR="00AB2B87" w:rsidRPr="00683DA0" w:rsidRDefault="00FC644E" w:rsidP="00AB2B87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683DA0">
        <w:rPr>
          <w:b/>
          <w:sz w:val="24"/>
          <w:szCs w:val="24"/>
        </w:rPr>
        <w:t xml:space="preserve">Do students who place into transfer-level courses, enroll in </w:t>
      </w:r>
      <w:r w:rsidR="00AB2B87" w:rsidRPr="00683DA0">
        <w:rPr>
          <w:b/>
          <w:sz w:val="24"/>
          <w:szCs w:val="24"/>
        </w:rPr>
        <w:t xml:space="preserve">a </w:t>
      </w:r>
      <w:r w:rsidR="008262FA">
        <w:rPr>
          <w:b/>
          <w:sz w:val="24"/>
          <w:szCs w:val="24"/>
        </w:rPr>
        <w:t xml:space="preserve">corresponding </w:t>
      </w:r>
      <w:r w:rsidR="00AB2B87" w:rsidRPr="00683DA0">
        <w:rPr>
          <w:b/>
          <w:sz w:val="24"/>
          <w:szCs w:val="24"/>
        </w:rPr>
        <w:t xml:space="preserve">transfer-level </w:t>
      </w:r>
      <w:r w:rsidRPr="00683DA0">
        <w:rPr>
          <w:b/>
          <w:sz w:val="24"/>
          <w:szCs w:val="24"/>
        </w:rPr>
        <w:t>ENG, MAT and/or ESL course?</w:t>
      </w:r>
    </w:p>
    <w:p w:rsidR="00D05C10" w:rsidRPr="00D05C10" w:rsidRDefault="00847370" w:rsidP="00D05C10">
      <w:pPr>
        <w:rPr>
          <w:sz w:val="24"/>
          <w:szCs w:val="24"/>
        </w:rPr>
      </w:pPr>
      <w:r w:rsidRPr="00847370">
        <w:rPr>
          <w:b/>
          <w:sz w:val="24"/>
          <w:szCs w:val="24"/>
        </w:rPr>
        <w:t>Yes,</w:t>
      </w:r>
      <w:r>
        <w:rPr>
          <w:sz w:val="24"/>
          <w:szCs w:val="24"/>
        </w:rPr>
        <w:t xml:space="preserve"> t</w:t>
      </w:r>
      <w:r w:rsidR="00D05C10">
        <w:rPr>
          <w:sz w:val="24"/>
          <w:szCs w:val="24"/>
        </w:rPr>
        <w:t xml:space="preserve">he majority of the students </w:t>
      </w:r>
      <w:r>
        <w:rPr>
          <w:sz w:val="24"/>
          <w:szCs w:val="24"/>
        </w:rPr>
        <w:t xml:space="preserve">(99.3%) </w:t>
      </w:r>
      <w:r w:rsidR="00D05C10">
        <w:rPr>
          <w:sz w:val="24"/>
          <w:szCs w:val="24"/>
        </w:rPr>
        <w:t xml:space="preserve">placed into transfer-level </w:t>
      </w:r>
      <w:r>
        <w:rPr>
          <w:sz w:val="24"/>
          <w:szCs w:val="24"/>
        </w:rPr>
        <w:t xml:space="preserve">English </w:t>
      </w:r>
      <w:r w:rsidR="00D05C10">
        <w:rPr>
          <w:sz w:val="24"/>
          <w:szCs w:val="24"/>
        </w:rPr>
        <w:t>courses have enrolled in transfer</w:t>
      </w:r>
      <w:r w:rsidR="000A4656">
        <w:rPr>
          <w:sz w:val="24"/>
          <w:szCs w:val="24"/>
        </w:rPr>
        <w:t>-</w:t>
      </w:r>
      <w:r w:rsidR="00D05C10">
        <w:rPr>
          <w:sz w:val="24"/>
          <w:szCs w:val="24"/>
        </w:rPr>
        <w:t>level sections</w:t>
      </w:r>
      <w:r w:rsidR="000A4656">
        <w:rPr>
          <w:sz w:val="24"/>
          <w:szCs w:val="24"/>
        </w:rPr>
        <w:t xml:space="preserve">, as have the majority of </w:t>
      </w:r>
      <w:r>
        <w:rPr>
          <w:sz w:val="24"/>
          <w:szCs w:val="24"/>
        </w:rPr>
        <w:t>students</w:t>
      </w:r>
      <w:r w:rsidR="000A4656">
        <w:rPr>
          <w:sz w:val="24"/>
          <w:szCs w:val="24"/>
        </w:rPr>
        <w:t xml:space="preserve"> (99.3%) who</w:t>
      </w:r>
      <w:r>
        <w:rPr>
          <w:sz w:val="24"/>
          <w:szCs w:val="24"/>
        </w:rPr>
        <w:t xml:space="preserve"> placed into transfer-level English courses with a co-requisite section. </w:t>
      </w:r>
      <w:r w:rsidR="00FB1CF7">
        <w:rPr>
          <w:sz w:val="24"/>
          <w:szCs w:val="24"/>
        </w:rPr>
        <w:t xml:space="preserve">We also see that students who take pre-transfer English courses transition to transfer-level English courses, along with students who’ve received multiple placements over time.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36"/>
        <w:gridCol w:w="1466"/>
        <w:gridCol w:w="1552"/>
        <w:gridCol w:w="1550"/>
        <w:gridCol w:w="1552"/>
        <w:gridCol w:w="894"/>
      </w:tblGrid>
      <w:tr w:rsidR="000A4656" w:rsidTr="00B53E1F">
        <w:tc>
          <w:tcPr>
            <w:tcW w:w="1249" w:type="pct"/>
          </w:tcPr>
          <w:p w:rsidR="000A4656" w:rsidRPr="00D6750F" w:rsidRDefault="000A4656" w:rsidP="003E36F7">
            <w:pPr>
              <w:rPr>
                <w:b/>
                <w:sz w:val="20"/>
                <w:szCs w:val="20"/>
              </w:rPr>
            </w:pPr>
            <w:r w:rsidRPr="00D6750F">
              <w:rPr>
                <w:sz w:val="20"/>
                <w:szCs w:val="20"/>
              </w:rPr>
              <w:t xml:space="preserve"> </w:t>
            </w:r>
            <w:r w:rsidRPr="00D6750F">
              <w:rPr>
                <w:b/>
                <w:sz w:val="20"/>
                <w:szCs w:val="20"/>
              </w:rPr>
              <w:t>Subject</w:t>
            </w:r>
          </w:p>
        </w:tc>
        <w:tc>
          <w:tcPr>
            <w:tcW w:w="784" w:type="pct"/>
          </w:tcPr>
          <w:p w:rsidR="000A4656" w:rsidRDefault="000A4656" w:rsidP="00D6750F">
            <w:pPr>
              <w:jc w:val="center"/>
              <w:rPr>
                <w:b/>
                <w:sz w:val="20"/>
                <w:szCs w:val="20"/>
              </w:rPr>
            </w:pPr>
            <w:r w:rsidRPr="00D6750F">
              <w:rPr>
                <w:b/>
                <w:sz w:val="20"/>
                <w:szCs w:val="20"/>
              </w:rPr>
              <w:t>Pre-Transfer</w:t>
            </w:r>
          </w:p>
          <w:p w:rsidR="00B53E1F" w:rsidRPr="00D6750F" w:rsidRDefault="00EE56E2" w:rsidP="00D675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Placement</w:t>
            </w:r>
          </w:p>
        </w:tc>
        <w:tc>
          <w:tcPr>
            <w:tcW w:w="830" w:type="pct"/>
          </w:tcPr>
          <w:p w:rsidR="000A4656" w:rsidRDefault="000A4656" w:rsidP="00D6750F">
            <w:pPr>
              <w:jc w:val="center"/>
              <w:rPr>
                <w:b/>
                <w:sz w:val="20"/>
                <w:szCs w:val="20"/>
              </w:rPr>
            </w:pPr>
            <w:r w:rsidRPr="00D6750F">
              <w:rPr>
                <w:b/>
                <w:sz w:val="20"/>
                <w:szCs w:val="20"/>
              </w:rPr>
              <w:t>Transfer-Co-Requisite</w:t>
            </w:r>
          </w:p>
          <w:p w:rsidR="00B53E1F" w:rsidRPr="00D6750F" w:rsidRDefault="00EE56E2" w:rsidP="00D675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Placement</w:t>
            </w:r>
          </w:p>
        </w:tc>
        <w:tc>
          <w:tcPr>
            <w:tcW w:w="829" w:type="pct"/>
          </w:tcPr>
          <w:p w:rsidR="000A4656" w:rsidRDefault="000A4656" w:rsidP="00D6750F">
            <w:pPr>
              <w:jc w:val="center"/>
              <w:rPr>
                <w:b/>
                <w:sz w:val="20"/>
                <w:szCs w:val="20"/>
              </w:rPr>
            </w:pPr>
            <w:r w:rsidRPr="00D6750F">
              <w:rPr>
                <w:b/>
                <w:sz w:val="20"/>
                <w:szCs w:val="20"/>
              </w:rPr>
              <w:t>Transfer (w/out Co-Requisite)</w:t>
            </w:r>
          </w:p>
          <w:p w:rsidR="00B53E1F" w:rsidRPr="00D6750F" w:rsidRDefault="00EE56E2" w:rsidP="00D6750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Placement</w:t>
            </w:r>
          </w:p>
        </w:tc>
        <w:tc>
          <w:tcPr>
            <w:tcW w:w="830" w:type="pct"/>
          </w:tcPr>
          <w:p w:rsidR="000A4656" w:rsidRPr="00D6750F" w:rsidRDefault="000A4656" w:rsidP="0007019E">
            <w:pPr>
              <w:jc w:val="center"/>
              <w:rPr>
                <w:b/>
                <w:sz w:val="20"/>
                <w:szCs w:val="20"/>
              </w:rPr>
            </w:pPr>
            <w:r w:rsidRPr="00D6750F">
              <w:rPr>
                <w:b/>
                <w:sz w:val="20"/>
                <w:szCs w:val="20"/>
              </w:rPr>
              <w:t>Multiple Placements</w:t>
            </w:r>
          </w:p>
        </w:tc>
        <w:tc>
          <w:tcPr>
            <w:tcW w:w="478" w:type="pct"/>
          </w:tcPr>
          <w:p w:rsidR="000A4656" w:rsidRPr="00D6750F" w:rsidRDefault="000A4656" w:rsidP="0007019E">
            <w:pPr>
              <w:jc w:val="center"/>
              <w:rPr>
                <w:b/>
                <w:sz w:val="20"/>
                <w:szCs w:val="20"/>
              </w:rPr>
            </w:pPr>
            <w:r w:rsidRPr="00D6750F">
              <w:rPr>
                <w:b/>
                <w:sz w:val="20"/>
                <w:szCs w:val="20"/>
              </w:rPr>
              <w:t>Total</w:t>
            </w:r>
          </w:p>
        </w:tc>
      </w:tr>
      <w:tr w:rsidR="00884A61" w:rsidTr="008262FA">
        <w:tc>
          <w:tcPr>
            <w:tcW w:w="1249" w:type="pct"/>
          </w:tcPr>
          <w:p w:rsidR="00884A61" w:rsidRPr="00D6750F" w:rsidRDefault="00884A61" w:rsidP="00EE56E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Pre-Transfer Courses</w:t>
            </w:r>
          </w:p>
        </w:tc>
        <w:tc>
          <w:tcPr>
            <w:tcW w:w="784" w:type="pct"/>
            <w:tcBorders>
              <w:bottom w:val="single" w:sz="4" w:space="0" w:color="auto"/>
            </w:tcBorders>
          </w:tcPr>
          <w:p w:rsidR="00884A61" w:rsidRPr="00D6750F" w:rsidRDefault="00884A61" w:rsidP="000701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369 (45.2%)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:rsidR="00884A61" w:rsidRPr="00D6750F" w:rsidRDefault="00884A61" w:rsidP="000701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(5.6%)</w:t>
            </w:r>
          </w:p>
        </w:tc>
        <w:tc>
          <w:tcPr>
            <w:tcW w:w="829" w:type="pct"/>
            <w:tcBorders>
              <w:bottom w:val="single" w:sz="4" w:space="0" w:color="auto"/>
            </w:tcBorders>
          </w:tcPr>
          <w:p w:rsidR="00884A61" w:rsidRPr="00D6750F" w:rsidRDefault="00884A61" w:rsidP="000701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(0.7%)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:rsidR="00884A61" w:rsidRPr="00D6750F" w:rsidRDefault="00884A61" w:rsidP="000701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(4.6%)</w:t>
            </w:r>
          </w:p>
        </w:tc>
        <w:tc>
          <w:tcPr>
            <w:tcW w:w="478" w:type="pct"/>
          </w:tcPr>
          <w:p w:rsidR="00884A61" w:rsidRPr="00D6750F" w:rsidRDefault="00884A61" w:rsidP="0007019E">
            <w:pPr>
              <w:jc w:val="center"/>
              <w:rPr>
                <w:sz w:val="20"/>
                <w:szCs w:val="20"/>
              </w:rPr>
            </w:pPr>
          </w:p>
        </w:tc>
      </w:tr>
      <w:tr w:rsidR="00884A61" w:rsidTr="00884A61">
        <w:tc>
          <w:tcPr>
            <w:tcW w:w="1249" w:type="pct"/>
          </w:tcPr>
          <w:p w:rsidR="00884A61" w:rsidRPr="00D6750F" w:rsidRDefault="00884A61" w:rsidP="00EE56E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Transfer-Level Courses</w:t>
            </w:r>
          </w:p>
        </w:tc>
        <w:tc>
          <w:tcPr>
            <w:tcW w:w="784" w:type="pct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884A61" w:rsidRPr="00D6750F" w:rsidRDefault="00884A61" w:rsidP="000701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 (54.8%)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884A61" w:rsidRPr="00D6750F" w:rsidRDefault="00884A61" w:rsidP="000701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 (94.4%)</w:t>
            </w:r>
          </w:p>
        </w:tc>
        <w:tc>
          <w:tcPr>
            <w:tcW w:w="829" w:type="pct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884A61" w:rsidRPr="00D6750F" w:rsidRDefault="00884A61" w:rsidP="000701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7829 (99.3%)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884A61" w:rsidRPr="00D6750F" w:rsidRDefault="00884A61" w:rsidP="000701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 (95.4%)</w:t>
            </w:r>
          </w:p>
        </w:tc>
        <w:tc>
          <w:tcPr>
            <w:tcW w:w="478" w:type="pct"/>
          </w:tcPr>
          <w:p w:rsidR="00884A61" w:rsidRPr="00D6750F" w:rsidRDefault="00884A61" w:rsidP="0007019E">
            <w:pPr>
              <w:jc w:val="center"/>
              <w:rPr>
                <w:sz w:val="20"/>
                <w:szCs w:val="20"/>
              </w:rPr>
            </w:pPr>
          </w:p>
        </w:tc>
      </w:tr>
      <w:tr w:rsidR="00884A61" w:rsidTr="00884A61">
        <w:tc>
          <w:tcPr>
            <w:tcW w:w="1249" w:type="pct"/>
          </w:tcPr>
          <w:p w:rsidR="00884A61" w:rsidRPr="00D6750F" w:rsidRDefault="00884A61" w:rsidP="00EE56E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English Total</w:t>
            </w:r>
          </w:p>
        </w:tc>
        <w:tc>
          <w:tcPr>
            <w:tcW w:w="784" w:type="pct"/>
            <w:shd w:val="clear" w:color="auto" w:fill="auto"/>
          </w:tcPr>
          <w:p w:rsidR="00884A61" w:rsidRPr="00D6750F" w:rsidRDefault="00884A61" w:rsidP="0007019E">
            <w:pPr>
              <w:jc w:val="center"/>
              <w:rPr>
                <w:sz w:val="20"/>
                <w:szCs w:val="20"/>
              </w:rPr>
            </w:pPr>
            <w:r w:rsidRPr="00D6750F">
              <w:rPr>
                <w:sz w:val="20"/>
                <w:szCs w:val="20"/>
              </w:rPr>
              <w:t>817 (8.1%)</w:t>
            </w:r>
          </w:p>
        </w:tc>
        <w:tc>
          <w:tcPr>
            <w:tcW w:w="830" w:type="pct"/>
            <w:shd w:val="clear" w:color="auto" w:fill="auto"/>
          </w:tcPr>
          <w:p w:rsidR="00884A61" w:rsidRPr="00D6750F" w:rsidRDefault="00884A61" w:rsidP="0007019E">
            <w:pPr>
              <w:jc w:val="center"/>
              <w:rPr>
                <w:sz w:val="20"/>
                <w:szCs w:val="20"/>
              </w:rPr>
            </w:pPr>
            <w:r w:rsidRPr="00D6750F">
              <w:rPr>
                <w:sz w:val="20"/>
                <w:szCs w:val="20"/>
              </w:rPr>
              <w:t>658 (6.5%)</w:t>
            </w:r>
          </w:p>
        </w:tc>
        <w:tc>
          <w:tcPr>
            <w:tcW w:w="829" w:type="pct"/>
            <w:shd w:val="clear" w:color="auto" w:fill="auto"/>
          </w:tcPr>
          <w:p w:rsidR="00884A61" w:rsidRPr="00D6750F" w:rsidRDefault="00884A61" w:rsidP="0007019E">
            <w:pPr>
              <w:jc w:val="center"/>
              <w:rPr>
                <w:sz w:val="20"/>
                <w:szCs w:val="20"/>
              </w:rPr>
            </w:pPr>
            <w:r w:rsidRPr="00D6750F">
              <w:rPr>
                <w:sz w:val="20"/>
                <w:szCs w:val="20"/>
              </w:rPr>
              <w:t>7884 (77.9%)</w:t>
            </w:r>
          </w:p>
        </w:tc>
        <w:tc>
          <w:tcPr>
            <w:tcW w:w="830" w:type="pct"/>
            <w:shd w:val="clear" w:color="auto" w:fill="auto"/>
          </w:tcPr>
          <w:p w:rsidR="00884A61" w:rsidRPr="00D6750F" w:rsidRDefault="00884A61" w:rsidP="0007019E">
            <w:pPr>
              <w:jc w:val="center"/>
              <w:rPr>
                <w:sz w:val="20"/>
                <w:szCs w:val="20"/>
              </w:rPr>
            </w:pPr>
            <w:r w:rsidRPr="00D6750F">
              <w:rPr>
                <w:sz w:val="20"/>
                <w:szCs w:val="20"/>
              </w:rPr>
              <w:t>760 (7.5%)</w:t>
            </w:r>
          </w:p>
        </w:tc>
        <w:tc>
          <w:tcPr>
            <w:tcW w:w="478" w:type="pct"/>
          </w:tcPr>
          <w:p w:rsidR="00884A61" w:rsidRPr="00884A61" w:rsidRDefault="00884A61" w:rsidP="0007019E">
            <w:pPr>
              <w:jc w:val="center"/>
              <w:rPr>
                <w:b/>
                <w:sz w:val="20"/>
                <w:szCs w:val="20"/>
              </w:rPr>
            </w:pPr>
            <w:r w:rsidRPr="00884A61">
              <w:rPr>
                <w:b/>
                <w:sz w:val="20"/>
                <w:szCs w:val="20"/>
              </w:rPr>
              <w:t>10,119</w:t>
            </w:r>
          </w:p>
        </w:tc>
      </w:tr>
    </w:tbl>
    <w:p w:rsidR="00E853EC" w:rsidRDefault="00E853EC"/>
    <w:p w:rsidR="000A4656" w:rsidRDefault="000A4656" w:rsidP="00FB1CF7">
      <w:pPr>
        <w:rPr>
          <w:sz w:val="24"/>
          <w:szCs w:val="24"/>
        </w:rPr>
      </w:pPr>
      <w:r w:rsidRPr="00847370">
        <w:rPr>
          <w:b/>
          <w:sz w:val="24"/>
          <w:szCs w:val="24"/>
        </w:rPr>
        <w:t>Yes,</w:t>
      </w:r>
      <w:r>
        <w:rPr>
          <w:sz w:val="24"/>
          <w:szCs w:val="24"/>
        </w:rPr>
        <w:t xml:space="preserve"> the majority of the students (9</w:t>
      </w:r>
      <w:r w:rsidR="00D10340">
        <w:rPr>
          <w:sz w:val="24"/>
          <w:szCs w:val="24"/>
        </w:rPr>
        <w:t>6.2</w:t>
      </w:r>
      <w:r>
        <w:rPr>
          <w:sz w:val="24"/>
          <w:szCs w:val="24"/>
        </w:rPr>
        <w:t xml:space="preserve">%) placed into transfer-level </w:t>
      </w:r>
      <w:r w:rsidR="00D10340">
        <w:rPr>
          <w:sz w:val="24"/>
          <w:szCs w:val="24"/>
        </w:rPr>
        <w:t>Math</w:t>
      </w:r>
      <w:r>
        <w:rPr>
          <w:sz w:val="24"/>
          <w:szCs w:val="24"/>
        </w:rPr>
        <w:t xml:space="preserve"> courses have enrolled in transfer-level sections, as have the majority of students (</w:t>
      </w:r>
      <w:r w:rsidR="00D10340">
        <w:rPr>
          <w:sz w:val="24"/>
          <w:szCs w:val="24"/>
        </w:rPr>
        <w:t>88.9</w:t>
      </w:r>
      <w:r>
        <w:rPr>
          <w:sz w:val="24"/>
          <w:szCs w:val="24"/>
        </w:rPr>
        <w:t>%) who placed into transfer-level</w:t>
      </w:r>
      <w:r w:rsidR="00D10340">
        <w:rPr>
          <w:sz w:val="24"/>
          <w:szCs w:val="24"/>
        </w:rPr>
        <w:t xml:space="preserve"> Math</w:t>
      </w:r>
      <w:r>
        <w:rPr>
          <w:sz w:val="24"/>
          <w:szCs w:val="24"/>
        </w:rPr>
        <w:t xml:space="preserve"> courses with a co-requisite section. </w:t>
      </w:r>
      <w:r w:rsidR="00FB1CF7">
        <w:rPr>
          <w:sz w:val="24"/>
          <w:szCs w:val="24"/>
        </w:rPr>
        <w:t>We also see that students who take pre-transfer Math courses transition to transfer-level Math courses, along with students who’ve received multiple placements over time.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52"/>
        <w:gridCol w:w="1550"/>
        <w:gridCol w:w="1552"/>
        <w:gridCol w:w="1550"/>
        <w:gridCol w:w="1552"/>
        <w:gridCol w:w="894"/>
      </w:tblGrid>
      <w:tr w:rsidR="000A4656" w:rsidRPr="00D6750F" w:rsidTr="00FB1CF7">
        <w:tc>
          <w:tcPr>
            <w:tcW w:w="1204" w:type="pct"/>
          </w:tcPr>
          <w:p w:rsidR="000A4656" w:rsidRPr="00D6750F" w:rsidRDefault="000A4656" w:rsidP="00E853EC">
            <w:pPr>
              <w:rPr>
                <w:b/>
                <w:sz w:val="20"/>
                <w:szCs w:val="20"/>
              </w:rPr>
            </w:pPr>
            <w:r w:rsidRPr="00D6750F">
              <w:rPr>
                <w:b/>
                <w:sz w:val="20"/>
                <w:szCs w:val="20"/>
              </w:rPr>
              <w:t>Subject</w:t>
            </w:r>
          </w:p>
        </w:tc>
        <w:tc>
          <w:tcPr>
            <w:tcW w:w="829" w:type="pct"/>
          </w:tcPr>
          <w:p w:rsidR="000A4656" w:rsidRDefault="000A4656" w:rsidP="00E853EC">
            <w:pPr>
              <w:jc w:val="center"/>
              <w:rPr>
                <w:b/>
                <w:sz w:val="20"/>
                <w:szCs w:val="20"/>
              </w:rPr>
            </w:pPr>
            <w:r w:rsidRPr="00D6750F">
              <w:rPr>
                <w:b/>
                <w:sz w:val="20"/>
                <w:szCs w:val="20"/>
              </w:rPr>
              <w:t>Pre-Transfer</w:t>
            </w:r>
          </w:p>
          <w:p w:rsidR="00EE56E2" w:rsidRPr="00D6750F" w:rsidRDefault="00EE56E2" w:rsidP="00E853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Placement</w:t>
            </w:r>
          </w:p>
        </w:tc>
        <w:tc>
          <w:tcPr>
            <w:tcW w:w="830" w:type="pct"/>
          </w:tcPr>
          <w:p w:rsidR="000A4656" w:rsidRDefault="000A4656" w:rsidP="00E853EC">
            <w:pPr>
              <w:jc w:val="center"/>
              <w:rPr>
                <w:b/>
                <w:sz w:val="20"/>
                <w:szCs w:val="20"/>
              </w:rPr>
            </w:pPr>
            <w:r w:rsidRPr="00D6750F">
              <w:rPr>
                <w:b/>
                <w:sz w:val="20"/>
                <w:szCs w:val="20"/>
              </w:rPr>
              <w:t>Transfer-Co-Requisite</w:t>
            </w:r>
          </w:p>
          <w:p w:rsidR="00EE56E2" w:rsidRPr="00D6750F" w:rsidRDefault="00EE56E2" w:rsidP="00E853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Placement</w:t>
            </w:r>
          </w:p>
        </w:tc>
        <w:tc>
          <w:tcPr>
            <w:tcW w:w="829" w:type="pct"/>
          </w:tcPr>
          <w:p w:rsidR="000A4656" w:rsidRDefault="000A4656" w:rsidP="00E853EC">
            <w:pPr>
              <w:jc w:val="center"/>
              <w:rPr>
                <w:b/>
                <w:sz w:val="20"/>
                <w:szCs w:val="20"/>
              </w:rPr>
            </w:pPr>
            <w:r w:rsidRPr="00D6750F">
              <w:rPr>
                <w:b/>
                <w:sz w:val="20"/>
                <w:szCs w:val="20"/>
              </w:rPr>
              <w:t>Transfer (w/out Co-Requisite)</w:t>
            </w:r>
          </w:p>
          <w:p w:rsidR="00EE56E2" w:rsidRPr="00D6750F" w:rsidRDefault="00EE56E2" w:rsidP="00E853E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Placement</w:t>
            </w:r>
          </w:p>
        </w:tc>
        <w:tc>
          <w:tcPr>
            <w:tcW w:w="830" w:type="pct"/>
          </w:tcPr>
          <w:p w:rsidR="000A4656" w:rsidRPr="00D6750F" w:rsidRDefault="000A4656" w:rsidP="00E853EC">
            <w:pPr>
              <w:jc w:val="center"/>
              <w:rPr>
                <w:b/>
                <w:sz w:val="20"/>
                <w:szCs w:val="20"/>
              </w:rPr>
            </w:pPr>
            <w:r w:rsidRPr="00D6750F">
              <w:rPr>
                <w:b/>
                <w:sz w:val="20"/>
                <w:szCs w:val="20"/>
              </w:rPr>
              <w:t>Multiple Placements</w:t>
            </w:r>
          </w:p>
        </w:tc>
        <w:tc>
          <w:tcPr>
            <w:tcW w:w="478" w:type="pct"/>
          </w:tcPr>
          <w:p w:rsidR="000A4656" w:rsidRPr="00D6750F" w:rsidRDefault="000A4656" w:rsidP="00E853EC">
            <w:pPr>
              <w:jc w:val="center"/>
              <w:rPr>
                <w:b/>
                <w:sz w:val="20"/>
                <w:szCs w:val="20"/>
              </w:rPr>
            </w:pPr>
            <w:r w:rsidRPr="00D6750F">
              <w:rPr>
                <w:b/>
                <w:sz w:val="20"/>
                <w:szCs w:val="20"/>
              </w:rPr>
              <w:t>Total</w:t>
            </w:r>
          </w:p>
        </w:tc>
      </w:tr>
      <w:tr w:rsidR="000A4656" w:rsidTr="003D763F">
        <w:tc>
          <w:tcPr>
            <w:tcW w:w="1204" w:type="pct"/>
          </w:tcPr>
          <w:p w:rsidR="000A4656" w:rsidRPr="00D6750F" w:rsidRDefault="000A4656" w:rsidP="003E36F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Pre-Transfer Courses</w:t>
            </w:r>
          </w:p>
        </w:tc>
        <w:tc>
          <w:tcPr>
            <w:tcW w:w="829" w:type="pct"/>
            <w:tcBorders>
              <w:bottom w:val="single" w:sz="4" w:space="0" w:color="auto"/>
            </w:tcBorders>
          </w:tcPr>
          <w:p w:rsidR="000A4656" w:rsidRPr="00D6750F" w:rsidRDefault="000A4656" w:rsidP="000701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1415 (59.3%)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:rsidR="000A4656" w:rsidRPr="00D6750F" w:rsidRDefault="000A4656" w:rsidP="000701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 (11.1%)</w:t>
            </w:r>
          </w:p>
        </w:tc>
        <w:tc>
          <w:tcPr>
            <w:tcW w:w="829" w:type="pct"/>
            <w:tcBorders>
              <w:bottom w:val="single" w:sz="4" w:space="0" w:color="auto"/>
            </w:tcBorders>
          </w:tcPr>
          <w:p w:rsidR="000A4656" w:rsidRPr="00D6750F" w:rsidRDefault="000A4656" w:rsidP="000701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 (3.8%)</w:t>
            </w:r>
          </w:p>
        </w:tc>
        <w:tc>
          <w:tcPr>
            <w:tcW w:w="830" w:type="pct"/>
            <w:tcBorders>
              <w:bottom w:val="single" w:sz="4" w:space="0" w:color="auto"/>
            </w:tcBorders>
          </w:tcPr>
          <w:p w:rsidR="000A4656" w:rsidRPr="00D6750F" w:rsidRDefault="000A4656" w:rsidP="000701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381 (35%)</w:t>
            </w:r>
          </w:p>
        </w:tc>
        <w:tc>
          <w:tcPr>
            <w:tcW w:w="478" w:type="pct"/>
          </w:tcPr>
          <w:p w:rsidR="000A4656" w:rsidRPr="00D6750F" w:rsidRDefault="000A4656" w:rsidP="0007019E">
            <w:pPr>
              <w:jc w:val="center"/>
              <w:rPr>
                <w:sz w:val="20"/>
                <w:szCs w:val="20"/>
              </w:rPr>
            </w:pPr>
          </w:p>
        </w:tc>
      </w:tr>
      <w:tr w:rsidR="000A4656" w:rsidTr="00884A61">
        <w:tc>
          <w:tcPr>
            <w:tcW w:w="1204" w:type="pct"/>
          </w:tcPr>
          <w:p w:rsidR="000A4656" w:rsidRDefault="000A4656" w:rsidP="003E36F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Transfer-Level Courses</w:t>
            </w:r>
          </w:p>
        </w:tc>
        <w:tc>
          <w:tcPr>
            <w:tcW w:w="829" w:type="pct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0A4656" w:rsidRDefault="000A4656" w:rsidP="000701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973 (40.7%)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0A4656" w:rsidRPr="00D6750F" w:rsidRDefault="000A4656" w:rsidP="000701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776 (88.9%)</w:t>
            </w:r>
          </w:p>
        </w:tc>
        <w:tc>
          <w:tcPr>
            <w:tcW w:w="829" w:type="pct"/>
            <w:tcBorders>
              <w:bottom w:val="single" w:sz="4" w:space="0" w:color="auto"/>
            </w:tcBorders>
            <w:shd w:val="clear" w:color="auto" w:fill="EAF1DD" w:themeFill="accent3" w:themeFillTint="33"/>
          </w:tcPr>
          <w:p w:rsidR="000A4656" w:rsidRPr="00D6750F" w:rsidRDefault="000A4656" w:rsidP="000701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3959 (96.2%)</w:t>
            </w:r>
          </w:p>
        </w:tc>
        <w:tc>
          <w:tcPr>
            <w:tcW w:w="830" w:type="pct"/>
            <w:tcBorders>
              <w:bottom w:val="single" w:sz="4" w:space="0" w:color="auto"/>
            </w:tcBorders>
            <w:shd w:val="clear" w:color="auto" w:fill="FDE9D9" w:themeFill="accent6" w:themeFillTint="33"/>
          </w:tcPr>
          <w:p w:rsidR="000A4656" w:rsidRPr="00D6750F" w:rsidRDefault="000A4656" w:rsidP="000701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 (65%)</w:t>
            </w:r>
          </w:p>
        </w:tc>
        <w:tc>
          <w:tcPr>
            <w:tcW w:w="478" w:type="pct"/>
          </w:tcPr>
          <w:p w:rsidR="000A4656" w:rsidRPr="00D6750F" w:rsidRDefault="000A4656" w:rsidP="0007019E">
            <w:pPr>
              <w:jc w:val="center"/>
              <w:rPr>
                <w:sz w:val="20"/>
                <w:szCs w:val="20"/>
              </w:rPr>
            </w:pPr>
          </w:p>
        </w:tc>
      </w:tr>
      <w:tr w:rsidR="00884A61" w:rsidTr="00884A61">
        <w:tc>
          <w:tcPr>
            <w:tcW w:w="1204" w:type="pct"/>
          </w:tcPr>
          <w:p w:rsidR="00884A61" w:rsidRPr="00D6750F" w:rsidRDefault="00884A61" w:rsidP="00884A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Mathematics Total</w:t>
            </w:r>
          </w:p>
        </w:tc>
        <w:tc>
          <w:tcPr>
            <w:tcW w:w="829" w:type="pct"/>
            <w:shd w:val="clear" w:color="auto" w:fill="auto"/>
          </w:tcPr>
          <w:p w:rsidR="00884A61" w:rsidRPr="00D6750F" w:rsidRDefault="00884A61" w:rsidP="00884A61">
            <w:pPr>
              <w:jc w:val="center"/>
              <w:rPr>
                <w:sz w:val="20"/>
                <w:szCs w:val="20"/>
              </w:rPr>
            </w:pPr>
            <w:r w:rsidRPr="00D6750F">
              <w:rPr>
                <w:sz w:val="20"/>
                <w:szCs w:val="20"/>
              </w:rPr>
              <w:t>2388 (28.2%)</w:t>
            </w:r>
          </w:p>
        </w:tc>
        <w:tc>
          <w:tcPr>
            <w:tcW w:w="830" w:type="pct"/>
            <w:shd w:val="clear" w:color="auto" w:fill="auto"/>
          </w:tcPr>
          <w:p w:rsidR="00884A61" w:rsidRPr="00D6750F" w:rsidRDefault="00884A61" w:rsidP="00884A61">
            <w:pPr>
              <w:jc w:val="center"/>
              <w:rPr>
                <w:sz w:val="20"/>
                <w:szCs w:val="20"/>
              </w:rPr>
            </w:pPr>
            <w:r w:rsidRPr="00D6750F">
              <w:rPr>
                <w:sz w:val="20"/>
                <w:szCs w:val="20"/>
              </w:rPr>
              <w:t>873 (10.3%)</w:t>
            </w:r>
          </w:p>
        </w:tc>
        <w:tc>
          <w:tcPr>
            <w:tcW w:w="829" w:type="pct"/>
            <w:shd w:val="clear" w:color="auto" w:fill="auto"/>
          </w:tcPr>
          <w:p w:rsidR="00884A61" w:rsidRPr="00D6750F" w:rsidRDefault="00884A61" w:rsidP="00884A61">
            <w:pPr>
              <w:jc w:val="center"/>
              <w:rPr>
                <w:sz w:val="20"/>
                <w:szCs w:val="20"/>
              </w:rPr>
            </w:pPr>
            <w:r w:rsidRPr="00D6750F">
              <w:rPr>
                <w:sz w:val="20"/>
                <w:szCs w:val="20"/>
              </w:rPr>
              <w:t>4116 (48.6%)</w:t>
            </w:r>
          </w:p>
        </w:tc>
        <w:tc>
          <w:tcPr>
            <w:tcW w:w="830" w:type="pct"/>
            <w:shd w:val="clear" w:color="auto" w:fill="auto"/>
          </w:tcPr>
          <w:p w:rsidR="00884A61" w:rsidRPr="00D6750F" w:rsidRDefault="00884A61" w:rsidP="00884A61">
            <w:pPr>
              <w:jc w:val="center"/>
              <w:rPr>
                <w:sz w:val="20"/>
                <w:szCs w:val="20"/>
              </w:rPr>
            </w:pPr>
            <w:r w:rsidRPr="00D6750F">
              <w:rPr>
                <w:sz w:val="20"/>
                <w:szCs w:val="20"/>
              </w:rPr>
              <w:t>1088 (12.9%)</w:t>
            </w:r>
          </w:p>
        </w:tc>
        <w:tc>
          <w:tcPr>
            <w:tcW w:w="478" w:type="pct"/>
          </w:tcPr>
          <w:p w:rsidR="00884A61" w:rsidRPr="00884A61" w:rsidRDefault="00884A61" w:rsidP="00884A61">
            <w:pPr>
              <w:jc w:val="center"/>
              <w:rPr>
                <w:b/>
                <w:sz w:val="20"/>
                <w:szCs w:val="20"/>
              </w:rPr>
            </w:pPr>
            <w:r w:rsidRPr="00884A61">
              <w:rPr>
                <w:b/>
                <w:sz w:val="20"/>
                <w:szCs w:val="20"/>
              </w:rPr>
              <w:t>8,465</w:t>
            </w:r>
          </w:p>
        </w:tc>
      </w:tr>
    </w:tbl>
    <w:p w:rsidR="003E36F7" w:rsidRDefault="003E36F7" w:rsidP="003E36F7">
      <w:pPr>
        <w:rPr>
          <w:b/>
          <w:sz w:val="24"/>
          <w:szCs w:val="24"/>
        </w:rPr>
      </w:pPr>
    </w:p>
    <w:p w:rsidR="00450A88" w:rsidRDefault="00450A88" w:rsidP="003E36F7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Perhaps, </w:t>
      </w:r>
      <w:r w:rsidR="00E14AAC" w:rsidRPr="00E14AAC">
        <w:rPr>
          <w:sz w:val="24"/>
          <w:szCs w:val="24"/>
        </w:rPr>
        <w:t xml:space="preserve">ESL students </w:t>
      </w:r>
      <w:r w:rsidR="00E14AAC">
        <w:rPr>
          <w:sz w:val="24"/>
          <w:szCs w:val="24"/>
        </w:rPr>
        <w:t xml:space="preserve">often </w:t>
      </w:r>
      <w:r w:rsidR="00E14AAC" w:rsidRPr="00E14AAC">
        <w:rPr>
          <w:sz w:val="24"/>
          <w:szCs w:val="24"/>
        </w:rPr>
        <w:t xml:space="preserve">enroll in a variety of </w:t>
      </w:r>
      <w:r w:rsidR="00E14AAC">
        <w:rPr>
          <w:sz w:val="24"/>
          <w:szCs w:val="24"/>
        </w:rPr>
        <w:t xml:space="preserve">credit and non-credit </w:t>
      </w:r>
      <w:r w:rsidR="00E14AAC" w:rsidRPr="00E14AAC">
        <w:rPr>
          <w:sz w:val="24"/>
          <w:szCs w:val="24"/>
        </w:rPr>
        <w:t>courses</w:t>
      </w:r>
      <w:r w:rsidR="00E14AAC">
        <w:rPr>
          <w:sz w:val="24"/>
          <w:szCs w:val="24"/>
        </w:rPr>
        <w:t xml:space="preserve"> over a semester.</w:t>
      </w:r>
      <w:r w:rsidR="00E14AAC">
        <w:rPr>
          <w:b/>
          <w:sz w:val="24"/>
          <w:szCs w:val="24"/>
        </w:rPr>
        <w:t xml:space="preserve"> </w:t>
      </w:r>
      <w:r w:rsidR="00E14AAC">
        <w:rPr>
          <w:sz w:val="24"/>
          <w:szCs w:val="24"/>
        </w:rPr>
        <w:t>M</w:t>
      </w:r>
      <w:r>
        <w:rPr>
          <w:sz w:val="24"/>
          <w:szCs w:val="24"/>
        </w:rPr>
        <w:t>any</w:t>
      </w:r>
      <w:r w:rsidRPr="00450A88">
        <w:rPr>
          <w:sz w:val="24"/>
          <w:szCs w:val="24"/>
        </w:rPr>
        <w:t xml:space="preserve"> of the </w:t>
      </w:r>
      <w:r>
        <w:rPr>
          <w:sz w:val="24"/>
          <w:szCs w:val="24"/>
        </w:rPr>
        <w:t xml:space="preserve">177 </w:t>
      </w:r>
      <w:r w:rsidRPr="00450A88">
        <w:rPr>
          <w:sz w:val="24"/>
          <w:szCs w:val="24"/>
        </w:rPr>
        <w:t xml:space="preserve">ESL students </w:t>
      </w:r>
      <w:r>
        <w:rPr>
          <w:sz w:val="24"/>
          <w:szCs w:val="24"/>
        </w:rPr>
        <w:t xml:space="preserve">with a placement record have taken a transfer–level English </w:t>
      </w:r>
      <w:r>
        <w:rPr>
          <w:sz w:val="24"/>
          <w:szCs w:val="24"/>
        </w:rPr>
        <w:lastRenderedPageBreak/>
        <w:t>course (42.4%, n=75)</w:t>
      </w:r>
      <w:r w:rsidR="00E14AAC">
        <w:rPr>
          <w:sz w:val="24"/>
          <w:szCs w:val="24"/>
        </w:rPr>
        <w:t xml:space="preserve">. As most are </w:t>
      </w:r>
      <w:r>
        <w:rPr>
          <w:sz w:val="24"/>
          <w:szCs w:val="24"/>
        </w:rPr>
        <w:t>taking it in 2021FA</w:t>
      </w:r>
      <w:r w:rsidR="00E14AAC">
        <w:rPr>
          <w:sz w:val="24"/>
          <w:szCs w:val="24"/>
        </w:rPr>
        <w:t>, we’re not able to report on the success/outcomes at this time</w:t>
      </w:r>
      <w:r>
        <w:rPr>
          <w:sz w:val="24"/>
          <w:szCs w:val="24"/>
        </w:rPr>
        <w:t xml:space="preserve">. Only a minority of </w:t>
      </w:r>
      <w:r w:rsidR="00E14AAC">
        <w:rPr>
          <w:sz w:val="24"/>
          <w:szCs w:val="24"/>
        </w:rPr>
        <w:t xml:space="preserve">the 177 ESL </w:t>
      </w:r>
      <w:r>
        <w:rPr>
          <w:sz w:val="24"/>
          <w:szCs w:val="24"/>
        </w:rPr>
        <w:t xml:space="preserve">students (25.4%, n=45) </w:t>
      </w:r>
      <w:r w:rsidRPr="00450A88">
        <w:rPr>
          <w:sz w:val="24"/>
          <w:szCs w:val="24"/>
        </w:rPr>
        <w:t xml:space="preserve">who placed into </w:t>
      </w:r>
      <w:r>
        <w:rPr>
          <w:sz w:val="24"/>
          <w:szCs w:val="24"/>
        </w:rPr>
        <w:t xml:space="preserve">an ESL course have enrolled in that course. </w:t>
      </w:r>
      <w:r w:rsidR="00E14AAC">
        <w:rPr>
          <w:sz w:val="24"/>
          <w:szCs w:val="24"/>
        </w:rPr>
        <w:t xml:space="preserve">This may be the result of enrollment patterns, course offerings and/or an academic plan leading to the desired course. </w:t>
      </w:r>
    </w:p>
    <w:p w:rsidR="00FB1CF7" w:rsidRPr="00450A88" w:rsidRDefault="00FB1CF7" w:rsidP="003E36F7">
      <w:pPr>
        <w:rPr>
          <w:sz w:val="24"/>
          <w:szCs w:val="24"/>
        </w:rPr>
      </w:pPr>
    </w:p>
    <w:p w:rsidR="00D05C10" w:rsidRPr="00683DA0" w:rsidRDefault="00D05C10" w:rsidP="00D05C1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683DA0">
        <w:rPr>
          <w:b/>
          <w:sz w:val="24"/>
          <w:szCs w:val="24"/>
        </w:rPr>
        <w:t>RQ2: Are students who place into a transfer-level ENG/MAT course (e.g., MAT-13, ENG-1A), more likely to enroll in ENG/MAT section with a co-requisite section (e.g., MAT-13X, ENG-1AX)?</w:t>
      </w:r>
    </w:p>
    <w:p w:rsidR="00570D8C" w:rsidRPr="00570D8C" w:rsidRDefault="000A10D2" w:rsidP="00570D8C">
      <w:pPr>
        <w:rPr>
          <w:sz w:val="24"/>
          <w:szCs w:val="24"/>
        </w:rPr>
      </w:pPr>
      <w:r w:rsidRPr="000108D2">
        <w:rPr>
          <w:b/>
          <w:sz w:val="24"/>
          <w:szCs w:val="24"/>
        </w:rPr>
        <w:t>No</w:t>
      </w:r>
      <w:r>
        <w:rPr>
          <w:sz w:val="24"/>
          <w:szCs w:val="24"/>
        </w:rPr>
        <w:t>, t</w:t>
      </w:r>
      <w:r w:rsidR="00570D8C" w:rsidRPr="00570D8C">
        <w:rPr>
          <w:sz w:val="24"/>
          <w:szCs w:val="24"/>
        </w:rPr>
        <w:t xml:space="preserve">he majority of the students placed into transfer-level courses </w:t>
      </w:r>
      <w:r w:rsidR="00A566D9">
        <w:rPr>
          <w:sz w:val="24"/>
          <w:szCs w:val="24"/>
        </w:rPr>
        <w:t xml:space="preserve">enroll </w:t>
      </w:r>
      <w:r w:rsidR="00570D8C">
        <w:rPr>
          <w:sz w:val="24"/>
          <w:szCs w:val="24"/>
        </w:rPr>
        <w:t>in a course with</w:t>
      </w:r>
      <w:r w:rsidR="00A566D9">
        <w:rPr>
          <w:sz w:val="24"/>
          <w:szCs w:val="24"/>
        </w:rPr>
        <w:t>out</w:t>
      </w:r>
      <w:r w:rsidR="00570D8C">
        <w:rPr>
          <w:sz w:val="24"/>
          <w:szCs w:val="24"/>
        </w:rPr>
        <w:t xml:space="preserve"> a co-requisite section</w:t>
      </w:r>
      <w:r w:rsidR="007A7611">
        <w:rPr>
          <w:sz w:val="24"/>
          <w:szCs w:val="24"/>
        </w:rPr>
        <w:t xml:space="preserve">. Only 10.5% of the students placed into ENG (8.3% of MAT) transfer-sections, who’ve taken at least one co-requisite section, have also enrolled in transfer course. There are many potential explanations for </w:t>
      </w:r>
      <w:r w:rsidR="00A566D9">
        <w:rPr>
          <w:sz w:val="24"/>
          <w:szCs w:val="24"/>
        </w:rPr>
        <w:t xml:space="preserve">students </w:t>
      </w:r>
      <w:r w:rsidR="007A7611">
        <w:rPr>
          <w:sz w:val="24"/>
          <w:szCs w:val="24"/>
        </w:rPr>
        <w:t xml:space="preserve">that </w:t>
      </w:r>
      <w:r w:rsidR="00A566D9">
        <w:rPr>
          <w:sz w:val="24"/>
          <w:szCs w:val="24"/>
        </w:rPr>
        <w:t xml:space="preserve">select courses with co-requisite sections </w:t>
      </w:r>
      <w:r w:rsidR="007A7611">
        <w:rPr>
          <w:sz w:val="24"/>
          <w:szCs w:val="24"/>
        </w:rPr>
        <w:t xml:space="preserve">like </w:t>
      </w:r>
      <w:r w:rsidR="00A566D9">
        <w:rPr>
          <w:sz w:val="24"/>
          <w:szCs w:val="24"/>
        </w:rPr>
        <w:t>professor</w:t>
      </w:r>
      <w:r w:rsidR="007A7611">
        <w:rPr>
          <w:sz w:val="24"/>
          <w:szCs w:val="24"/>
        </w:rPr>
        <w:t xml:space="preserve"> preference</w:t>
      </w:r>
      <w:r w:rsidR="00A566D9">
        <w:rPr>
          <w:sz w:val="24"/>
          <w:szCs w:val="24"/>
        </w:rPr>
        <w:t>, scheduling issues (i.e., time/day/instructional methods)</w:t>
      </w:r>
      <w:r w:rsidR="00FB1CF7">
        <w:rPr>
          <w:sz w:val="24"/>
          <w:szCs w:val="24"/>
        </w:rPr>
        <w:t>,</w:t>
      </w:r>
      <w:r w:rsidR="00A566D9">
        <w:rPr>
          <w:sz w:val="24"/>
          <w:szCs w:val="24"/>
        </w:rPr>
        <w:t xml:space="preserve"> </w:t>
      </w:r>
      <w:r w:rsidR="00147967">
        <w:rPr>
          <w:sz w:val="24"/>
          <w:szCs w:val="24"/>
        </w:rPr>
        <w:t>opportunities</w:t>
      </w:r>
      <w:r w:rsidR="00FB1CF7">
        <w:rPr>
          <w:sz w:val="24"/>
          <w:szCs w:val="24"/>
        </w:rPr>
        <w:t xml:space="preserve"> offered by the co-requisite sections or simply failed/withdrew from their </w:t>
      </w:r>
      <w:r w:rsidR="00147967">
        <w:rPr>
          <w:sz w:val="24"/>
          <w:szCs w:val="24"/>
        </w:rPr>
        <w:t>transfer-level section</w:t>
      </w:r>
      <w:r w:rsidR="00A566D9">
        <w:rPr>
          <w:sz w:val="24"/>
          <w:szCs w:val="24"/>
        </w:rPr>
        <w:t xml:space="preserve">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54"/>
        <w:gridCol w:w="1909"/>
        <w:gridCol w:w="3243"/>
        <w:gridCol w:w="3244"/>
      </w:tblGrid>
      <w:tr w:rsidR="00D267A9" w:rsidTr="00147967">
        <w:tc>
          <w:tcPr>
            <w:tcW w:w="510" w:type="pct"/>
          </w:tcPr>
          <w:p w:rsidR="00D267A9" w:rsidRDefault="00D267A9" w:rsidP="00586BE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Subject</w:t>
            </w:r>
          </w:p>
        </w:tc>
        <w:tc>
          <w:tcPr>
            <w:tcW w:w="1021" w:type="pct"/>
          </w:tcPr>
          <w:p w:rsidR="00D267A9" w:rsidRDefault="00D267A9" w:rsidP="000A10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Students placed into Transfer sections</w:t>
            </w:r>
          </w:p>
        </w:tc>
        <w:tc>
          <w:tcPr>
            <w:tcW w:w="1734" w:type="pct"/>
          </w:tcPr>
          <w:p w:rsidR="00D267A9" w:rsidRDefault="00D267A9" w:rsidP="000A10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Students who’ve taken at least one co-requisite transfer section</w:t>
            </w:r>
          </w:p>
        </w:tc>
        <w:tc>
          <w:tcPr>
            <w:tcW w:w="1735" w:type="pct"/>
            <w:tcBorders>
              <w:bottom w:val="single" w:sz="4" w:space="0" w:color="auto"/>
            </w:tcBorders>
          </w:tcPr>
          <w:p w:rsidR="00D267A9" w:rsidRDefault="00D267A9" w:rsidP="000A10D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Students who’ve taken at least one co-requisite transfer section, without taking a Transfer course</w:t>
            </w:r>
          </w:p>
        </w:tc>
      </w:tr>
      <w:tr w:rsidR="00D267A9" w:rsidTr="00147967">
        <w:tc>
          <w:tcPr>
            <w:tcW w:w="510" w:type="pct"/>
          </w:tcPr>
          <w:p w:rsidR="00D267A9" w:rsidRDefault="00D267A9" w:rsidP="00586BE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ENG</w:t>
            </w:r>
          </w:p>
        </w:tc>
        <w:tc>
          <w:tcPr>
            <w:tcW w:w="1021" w:type="pct"/>
          </w:tcPr>
          <w:p w:rsidR="00D267A9" w:rsidRPr="008162D5" w:rsidRDefault="00D267A9" w:rsidP="000701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7,884</w:t>
            </w:r>
          </w:p>
        </w:tc>
        <w:tc>
          <w:tcPr>
            <w:tcW w:w="1734" w:type="pct"/>
          </w:tcPr>
          <w:p w:rsidR="00D267A9" w:rsidRPr="008162D5" w:rsidRDefault="00D267A9" w:rsidP="000A10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</w:t>
            </w:r>
            <w:r w:rsidRPr="008162D5">
              <w:rPr>
                <w:sz w:val="24"/>
                <w:szCs w:val="24"/>
              </w:rPr>
              <w:t>% (n=</w:t>
            </w:r>
            <w:r>
              <w:rPr>
                <w:sz w:val="24"/>
                <w:szCs w:val="24"/>
              </w:rPr>
              <w:t>1,502</w:t>
            </w:r>
            <w:r w:rsidRPr="008162D5">
              <w:rPr>
                <w:sz w:val="24"/>
                <w:szCs w:val="24"/>
              </w:rPr>
              <w:t>)</w:t>
            </w:r>
          </w:p>
        </w:tc>
        <w:tc>
          <w:tcPr>
            <w:tcW w:w="1735" w:type="pct"/>
            <w:shd w:val="clear" w:color="auto" w:fill="EAF1DD" w:themeFill="accent3" w:themeFillTint="33"/>
          </w:tcPr>
          <w:p w:rsidR="00D267A9" w:rsidRDefault="00D267A9" w:rsidP="00D267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10.5% (n=829)</w:t>
            </w:r>
          </w:p>
        </w:tc>
      </w:tr>
      <w:tr w:rsidR="00D267A9" w:rsidTr="00147967">
        <w:tc>
          <w:tcPr>
            <w:tcW w:w="510" w:type="pct"/>
          </w:tcPr>
          <w:p w:rsidR="00D267A9" w:rsidRDefault="00D267A9" w:rsidP="00586BE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</w:t>
            </w:r>
          </w:p>
        </w:tc>
        <w:tc>
          <w:tcPr>
            <w:tcW w:w="1021" w:type="pct"/>
          </w:tcPr>
          <w:p w:rsidR="00D267A9" w:rsidRPr="008162D5" w:rsidRDefault="00D267A9" w:rsidP="000701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4,116</w:t>
            </w:r>
          </w:p>
        </w:tc>
        <w:tc>
          <w:tcPr>
            <w:tcW w:w="1734" w:type="pct"/>
          </w:tcPr>
          <w:p w:rsidR="00D267A9" w:rsidRPr="008162D5" w:rsidRDefault="00D267A9" w:rsidP="000A10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12.6</w:t>
            </w:r>
            <w:r w:rsidRPr="008162D5">
              <w:rPr>
                <w:sz w:val="24"/>
                <w:szCs w:val="24"/>
              </w:rPr>
              <w:t>% (n=</w:t>
            </w:r>
            <w:r>
              <w:rPr>
                <w:sz w:val="24"/>
                <w:szCs w:val="24"/>
              </w:rPr>
              <w:t>518</w:t>
            </w:r>
            <w:r w:rsidRPr="008162D5">
              <w:rPr>
                <w:sz w:val="24"/>
                <w:szCs w:val="24"/>
              </w:rPr>
              <w:t>)</w:t>
            </w:r>
          </w:p>
        </w:tc>
        <w:tc>
          <w:tcPr>
            <w:tcW w:w="1735" w:type="pct"/>
            <w:shd w:val="clear" w:color="auto" w:fill="EAF1DD" w:themeFill="accent3" w:themeFillTint="33"/>
          </w:tcPr>
          <w:p w:rsidR="00D267A9" w:rsidRDefault="00D267A9" w:rsidP="000A10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8.3% (n=340)</w:t>
            </w:r>
          </w:p>
        </w:tc>
      </w:tr>
    </w:tbl>
    <w:p w:rsidR="009F1CBE" w:rsidRDefault="009F1CBE" w:rsidP="003E36F7">
      <w:pPr>
        <w:rPr>
          <w:b/>
          <w:sz w:val="24"/>
          <w:szCs w:val="24"/>
        </w:rPr>
      </w:pPr>
    </w:p>
    <w:p w:rsidR="003B77F8" w:rsidRDefault="003B77F8" w:rsidP="003B77F8">
      <w:pPr>
        <w:spacing w:after="0"/>
      </w:pPr>
      <w:r>
        <w:t>Created by Matt Trengove on October 7, 2021</w:t>
      </w:r>
    </w:p>
    <w:p w:rsidR="003B77F8" w:rsidRDefault="003B77F8" w:rsidP="003B77F8">
      <w:pPr>
        <w:pStyle w:val="ListParagraph"/>
        <w:numPr>
          <w:ilvl w:val="0"/>
          <w:numId w:val="2"/>
        </w:numPr>
        <w:spacing w:after="0"/>
      </w:pPr>
      <w:r>
        <w:t>See: Active Projects 2021-22AY, ENG/MAT Self-Placements for queries/data</w:t>
      </w:r>
    </w:p>
    <w:sectPr w:rsidR="003B77F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611" w:rsidRDefault="007A7611" w:rsidP="003E36F7">
      <w:pPr>
        <w:spacing w:after="0" w:line="240" w:lineRule="auto"/>
      </w:pPr>
      <w:r>
        <w:separator/>
      </w:r>
    </w:p>
  </w:endnote>
  <w:endnote w:type="continuationSeparator" w:id="0">
    <w:p w:rsidR="007A7611" w:rsidRDefault="007A7611" w:rsidP="003E3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611" w:rsidRDefault="007A7611" w:rsidP="003E36F7">
      <w:pPr>
        <w:spacing w:after="0" w:line="240" w:lineRule="auto"/>
      </w:pPr>
      <w:r>
        <w:separator/>
      </w:r>
    </w:p>
  </w:footnote>
  <w:footnote w:type="continuationSeparator" w:id="0">
    <w:p w:rsidR="007A7611" w:rsidRDefault="007A7611" w:rsidP="003E3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611" w:rsidRDefault="007A7611" w:rsidP="003E36F7">
    <w:pPr>
      <w:pStyle w:val="Header"/>
      <w:jc w:val="center"/>
    </w:pPr>
    <w:r>
      <w:t>Results of the AB705 Self-Placement Process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87D68"/>
    <w:multiLevelType w:val="hybridMultilevel"/>
    <w:tmpl w:val="DFA445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E7B11C8"/>
    <w:multiLevelType w:val="hybridMultilevel"/>
    <w:tmpl w:val="CFC8B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6F7"/>
    <w:rsid w:val="000108D2"/>
    <w:rsid w:val="0007019E"/>
    <w:rsid w:val="0008536E"/>
    <w:rsid w:val="000A10D2"/>
    <w:rsid w:val="000A4656"/>
    <w:rsid w:val="000A5A91"/>
    <w:rsid w:val="00147967"/>
    <w:rsid w:val="001859FA"/>
    <w:rsid w:val="002F2AE4"/>
    <w:rsid w:val="003B77F8"/>
    <w:rsid w:val="003D763F"/>
    <w:rsid w:val="003E36F7"/>
    <w:rsid w:val="00450A88"/>
    <w:rsid w:val="00570D8C"/>
    <w:rsid w:val="00586BEE"/>
    <w:rsid w:val="00683DA0"/>
    <w:rsid w:val="007A7611"/>
    <w:rsid w:val="008162D5"/>
    <w:rsid w:val="008262FA"/>
    <w:rsid w:val="00847370"/>
    <w:rsid w:val="00884A61"/>
    <w:rsid w:val="009F1CBE"/>
    <w:rsid w:val="00A0313C"/>
    <w:rsid w:val="00A566D9"/>
    <w:rsid w:val="00A839A3"/>
    <w:rsid w:val="00AB2B87"/>
    <w:rsid w:val="00B228BC"/>
    <w:rsid w:val="00B53E1F"/>
    <w:rsid w:val="00B96F6F"/>
    <w:rsid w:val="00C35765"/>
    <w:rsid w:val="00D05C10"/>
    <w:rsid w:val="00D10340"/>
    <w:rsid w:val="00D267A9"/>
    <w:rsid w:val="00D6750F"/>
    <w:rsid w:val="00D96140"/>
    <w:rsid w:val="00E14AAC"/>
    <w:rsid w:val="00E853EC"/>
    <w:rsid w:val="00EE56E2"/>
    <w:rsid w:val="00FB1CF7"/>
    <w:rsid w:val="00FC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5668F"/>
  <w15:chartTrackingRefBased/>
  <w15:docId w15:val="{2DC7FCAE-C4BD-479D-BD36-C3767F977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36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3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36F7"/>
  </w:style>
  <w:style w:type="paragraph" w:styleId="Footer">
    <w:name w:val="footer"/>
    <w:basedOn w:val="Normal"/>
    <w:link w:val="FooterChar"/>
    <w:uiPriority w:val="99"/>
    <w:unhideWhenUsed/>
    <w:rsid w:val="003E3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36F7"/>
  </w:style>
  <w:style w:type="table" w:styleId="TableGrid">
    <w:name w:val="Table Grid"/>
    <w:basedOn w:val="TableNormal"/>
    <w:uiPriority w:val="59"/>
    <w:rsid w:val="003E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2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6127412E</Template>
  <TotalTime>600</TotalTime>
  <Pages>2</Pages>
  <Words>599</Words>
  <Characters>3420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Hartnell College</Company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matthew_trengove@yahoo.com</dc:creator>
  <cp:keywords/>
  <dc:description/>
  <cp:lastModifiedBy>matthew_trengove@yahoo.com</cp:lastModifiedBy>
  <cp:revision>9</cp:revision>
  <dcterms:created xsi:type="dcterms:W3CDTF">2021-10-05T20:43:00Z</dcterms:created>
  <dcterms:modified xsi:type="dcterms:W3CDTF">2021-10-07T15:43:00Z</dcterms:modified>
</cp:coreProperties>
</file>