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C3B" w:rsidRDefault="00722D9B">
      <w:pPr>
        <w:spacing w:before="100" w:after="0" w:line="240" w:lineRule="auto"/>
        <w:ind w:right="-20"/>
        <w:jc w:val="center"/>
      </w:pPr>
      <w:bookmarkStart w:id="0" w:name="_heading=h.yzpht7pbzw4" w:colFirst="0" w:colLast="0"/>
      <w:bookmarkEnd w:id="0"/>
      <w:r>
        <w:rPr>
          <w:noProof/>
        </w:rPr>
        <w:drawing>
          <wp:inline distT="0" distB="0" distL="0" distR="0">
            <wp:extent cx="1152525" cy="94678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467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3C3B" w:rsidRDefault="00722D9B">
      <w:pPr>
        <w:spacing w:after="0" w:line="254" w:lineRule="auto"/>
        <w:ind w:right="-20"/>
        <w:jc w:val="center"/>
        <w:rPr>
          <w:b/>
        </w:rPr>
      </w:pPr>
      <w:r>
        <w:rPr>
          <w:b/>
        </w:rPr>
        <w:t>TECHNOLOGY SUPPORT LEARNING COUNCIL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September 19, 2025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>1:00 p.m.-3:00 p.m.</w:t>
      </w:r>
    </w:p>
    <w:p w:rsidR="005E3C3B" w:rsidRDefault="00722D9B">
      <w:pPr>
        <w:spacing w:after="0" w:line="240" w:lineRule="auto"/>
        <w:ind w:right="-20"/>
        <w:jc w:val="center"/>
      </w:pPr>
      <w:r>
        <w:rPr>
          <w:b/>
        </w:rPr>
        <w:t xml:space="preserve">  ZOOM</w:t>
      </w:r>
    </w:p>
    <w:p w:rsidR="005E3C3B" w:rsidRDefault="005E3C3B">
      <w:pPr>
        <w:spacing w:before="9" w:after="0" w:line="260" w:lineRule="auto"/>
        <w:ind w:right="-20"/>
        <w:jc w:val="center"/>
      </w:pPr>
    </w:p>
    <w:p w:rsidR="005E3C3B" w:rsidRDefault="00722D9B">
      <w:pPr>
        <w:spacing w:after="0" w:line="240" w:lineRule="auto"/>
        <w:ind w:right="-20"/>
        <w:jc w:val="center"/>
        <w:rPr>
          <w:b/>
          <w:color w:val="0000FF"/>
          <w:u w:val="single"/>
        </w:rPr>
      </w:pPr>
      <w:r>
        <w:fldChar w:fldCharType="begin"/>
      </w:r>
      <w:r>
        <w:instrText xml:space="preserve"> HYPERLINK "https://hartnell-edu.zoom.us/j/82251412788?pwd=dsbU4kVdyB6WGbaoA1Z89NyI9tFz0t.1" </w:instrText>
      </w:r>
      <w:r>
        <w:fldChar w:fldCharType="separate"/>
      </w:r>
      <w:r>
        <w:rPr>
          <w:b/>
          <w:color w:val="0000FF"/>
          <w:u w:val="single"/>
        </w:rPr>
        <w:t>[ZOOM LINK]</w:t>
      </w: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fldChar w:fldCharType="end"/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Technology Learning Support Council is dedicated to providing student-centered decision-making in all we do. </w:t>
      </w:r>
    </w:p>
    <w:p w:rsidR="005E3C3B" w:rsidRDefault="00722D9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Verdana" w:eastAsia="Verdana" w:hAnsi="Verdana" w:cs="Verdana"/>
          <w:color w:val="222222"/>
          <w:highlight w:val="white"/>
        </w:rPr>
        <w:t>The Four Pillars of Guided Pathways direct all initiatives: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contribute to creating clear curricular pathways for students leading to employment and further education?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help students choose and enter their pathway?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foster an environment where students stay on their path?</w:t>
      </w:r>
    </w:p>
    <w:p w:rsidR="005E3C3B" w:rsidRDefault="00722D9B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  <w:r>
        <w:rPr>
          <w:rFonts w:ascii="Verdana" w:eastAsia="Verdana" w:hAnsi="Verdana" w:cs="Verdana"/>
          <w:color w:val="222222"/>
          <w:highlight w:val="white"/>
        </w:rPr>
        <w:t>How can we ensure that learning is happening with intentional outcomes?</w:t>
      </w: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tbl>
      <w:tblPr>
        <w:tblStyle w:val="a"/>
        <w:tblW w:w="6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05"/>
        <w:gridCol w:w="2243"/>
      </w:tblGrid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MEMBERS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Constituent Group  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Chelsy Pham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Nicholas Vasquez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Co-Chair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Paul Chen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Director/Admin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Guy Hanna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Deborah Stephens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Faculty, Library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Richard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Director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Elizabeth Morales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Nancy Wheat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945C3D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Diane Harley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Faculty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Cecilia Isabel Vazquez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Alfonso Vera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Jeriel</w:t>
            </w:r>
            <w:proofErr w:type="spellEnd"/>
            <w:r>
              <w:rPr>
                <w:color w:val="000000"/>
              </w:rPr>
              <w:t xml:space="preserve"> Sevilla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Alan Barron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Student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Gonzalez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Dr. Jason Garrett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Interim Dean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Ana Valles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Jacob Jun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5E3C3B">
        <w:trPr>
          <w:trHeight w:val="123"/>
          <w:jc w:val="center"/>
        </w:trPr>
        <w:tc>
          <w:tcPr>
            <w:tcW w:w="4705" w:type="dxa"/>
          </w:tcPr>
          <w:p w:rsidR="005E3C3B" w:rsidRDefault="00722D9B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>Miriam Contreras</w:t>
            </w:r>
          </w:p>
        </w:tc>
        <w:tc>
          <w:tcPr>
            <w:tcW w:w="2243" w:type="dxa"/>
          </w:tcPr>
          <w:p w:rsidR="005E3C3B" w:rsidRDefault="00722D9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Staff</w:t>
            </w:r>
          </w:p>
        </w:tc>
      </w:tr>
      <w:tr w:rsidR="00945C3D">
        <w:trPr>
          <w:trHeight w:val="123"/>
          <w:jc w:val="center"/>
        </w:trPr>
        <w:tc>
          <w:tcPr>
            <w:tcW w:w="4705" w:type="dxa"/>
          </w:tcPr>
          <w:p w:rsidR="00945C3D" w:rsidRDefault="00C55915">
            <w:pPr>
              <w:widowControl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420"/>
              <w:rPr>
                <w:color w:val="000000"/>
              </w:rPr>
            </w:pPr>
            <w:r>
              <w:rPr>
                <w:color w:val="000000"/>
              </w:rPr>
              <w:t xml:space="preserve">Dr. </w:t>
            </w:r>
            <w:r w:rsidR="00945C3D">
              <w:rPr>
                <w:color w:val="000000"/>
              </w:rPr>
              <w:t>Kelly Locke</w:t>
            </w:r>
          </w:p>
        </w:tc>
        <w:tc>
          <w:tcPr>
            <w:tcW w:w="2243" w:type="dxa"/>
          </w:tcPr>
          <w:p w:rsidR="00945C3D" w:rsidRDefault="00945C3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Gues</w:t>
            </w:r>
            <w:r w:rsidR="00C55915">
              <w:rPr>
                <w:color w:val="000000"/>
              </w:rPr>
              <w:t>t</w:t>
            </w:r>
          </w:p>
        </w:tc>
      </w:tr>
    </w:tbl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widowControl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0"/>
        <w:rPr>
          <w:rFonts w:ascii="Verdana" w:eastAsia="Verdana" w:hAnsi="Verdana" w:cs="Verdana"/>
          <w:color w:val="222222"/>
        </w:rPr>
      </w:pPr>
    </w:p>
    <w:p w:rsidR="005E3C3B" w:rsidRDefault="005E3C3B">
      <w:pPr>
        <w:spacing w:after="0" w:line="240" w:lineRule="auto"/>
        <w:ind w:right="-20"/>
        <w:jc w:val="center"/>
      </w:pPr>
    </w:p>
    <w:p w:rsidR="005E3C3B" w:rsidRDefault="005E3C3B">
      <w:pPr>
        <w:spacing w:after="0" w:line="240" w:lineRule="auto"/>
        <w:ind w:right="-20"/>
        <w:jc w:val="center"/>
        <w:rPr>
          <w:b/>
        </w:rPr>
      </w:pPr>
    </w:p>
    <w:p w:rsidR="005E3C3B" w:rsidRDefault="00722D9B">
      <w:pPr>
        <w:spacing w:after="0" w:line="240" w:lineRule="auto"/>
        <w:ind w:right="-20"/>
        <w:jc w:val="center"/>
        <w:rPr>
          <w:b/>
        </w:rPr>
      </w:pPr>
      <w:r>
        <w:rPr>
          <w:b/>
        </w:rPr>
        <w:t xml:space="preserve">AGENDA </w:t>
      </w:r>
    </w:p>
    <w:p w:rsidR="005E3C3B" w:rsidRDefault="005E3C3B">
      <w:pPr>
        <w:spacing w:after="0" w:line="240" w:lineRule="auto"/>
        <w:ind w:left="3432" w:right="3057"/>
        <w:jc w:val="center"/>
      </w:pPr>
    </w:p>
    <w:tbl>
      <w:tblPr>
        <w:tblStyle w:val="a0"/>
        <w:tblW w:w="10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0"/>
        <w:gridCol w:w="1723"/>
        <w:gridCol w:w="2709"/>
        <w:gridCol w:w="1271"/>
      </w:tblGrid>
      <w:tr w:rsidR="005E3C3B">
        <w:tc>
          <w:tcPr>
            <w:tcW w:w="5220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723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w="2709" w:type="dxa"/>
            <w:shd w:val="clear" w:color="auto" w:fill="D9D9D9"/>
          </w:tcPr>
          <w:p w:rsidR="005E3C3B" w:rsidRDefault="00722D9B">
            <w:pPr>
              <w:spacing w:before="9" w:line="260" w:lineRule="auto"/>
              <w:ind w:right="140"/>
              <w:jc w:val="center"/>
              <w:rPr>
                <w:b/>
              </w:rPr>
            </w:pPr>
            <w:r>
              <w:rPr>
                <w:b/>
              </w:rPr>
              <w:t>PRESENTED BY</w:t>
            </w:r>
          </w:p>
        </w:tc>
        <w:tc>
          <w:tcPr>
            <w:tcW w:w="1271" w:type="dxa"/>
            <w:shd w:val="clear" w:color="auto" w:fill="D9D9D9"/>
          </w:tcPr>
          <w:p w:rsidR="005E3C3B" w:rsidRDefault="00722D9B">
            <w:pPr>
              <w:spacing w:before="9" w:line="260" w:lineRule="auto"/>
              <w:ind w:left="-112" w:right="-133"/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Call Meeting to Order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Consider Approval of the Agenda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  <w:p w:rsidR="005E3C3B" w:rsidRDefault="005E3C3B">
            <w:pPr>
              <w:spacing w:line="260" w:lineRule="auto"/>
              <w:ind w:right="140"/>
            </w:pP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rPr>
          <w:trHeight w:val="297"/>
        </w:trPr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 xml:space="preserve">Consider Approval of </w:t>
            </w:r>
            <w:hyperlink r:id="rId9" w:history="1">
              <w:r w:rsidRPr="005476EE">
                <w:rPr>
                  <w:rStyle w:val="Hyperlink"/>
                </w:rPr>
                <w:t>May Minutes</w:t>
              </w:r>
            </w:hyperlink>
            <w:r>
              <w:rPr>
                <w:color w:val="000000"/>
              </w:rPr>
              <w:t xml:space="preserve"> 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tabs>
                <w:tab w:val="left" w:pos="1796"/>
              </w:tabs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t>Zoom Retention Reminder</w:t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Jacob Jun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845927">
        <w:tc>
          <w:tcPr>
            <w:tcW w:w="5220" w:type="dxa"/>
            <w:shd w:val="clear" w:color="auto" w:fill="FFFFFF"/>
          </w:tcPr>
          <w:p w:rsidR="00845927" w:rsidRDefault="00547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right="140"/>
            </w:pPr>
            <w:hyperlink r:id="rId10" w:history="1">
              <w:r w:rsidR="00845927" w:rsidRPr="005476EE">
                <w:rPr>
                  <w:rStyle w:val="Hyperlink"/>
                </w:rPr>
                <w:t>Governance vs. Managerial/Operational Functions</w:t>
              </w:r>
            </w:hyperlink>
          </w:p>
          <w:p w:rsidR="00845927" w:rsidRDefault="00845927" w:rsidP="008459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360" w:right="140"/>
            </w:pPr>
          </w:p>
        </w:tc>
        <w:tc>
          <w:tcPr>
            <w:tcW w:w="1723" w:type="dxa"/>
            <w:shd w:val="clear" w:color="auto" w:fill="FFFFFF"/>
          </w:tcPr>
          <w:p w:rsidR="00845927" w:rsidRDefault="00845927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845927" w:rsidRDefault="00845927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845927" w:rsidRDefault="00845927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5476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hyperlink r:id="rId11" w:history="1">
              <w:r w:rsidR="00722D9B" w:rsidRPr="005476EE">
                <w:rPr>
                  <w:rStyle w:val="Hyperlink"/>
                </w:rPr>
                <w:t>Discuss Camera Policy</w:t>
              </w:r>
            </w:hyperlink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Coursedog</w:t>
            </w:r>
            <w:proofErr w:type="spellEnd"/>
            <w:r>
              <w:rPr>
                <w:color w:val="000000"/>
              </w:rPr>
              <w:t xml:space="preserve"> Events Presentation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Jacob Jun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945C3D">
        <w:tc>
          <w:tcPr>
            <w:tcW w:w="5220" w:type="dxa"/>
            <w:shd w:val="clear" w:color="auto" w:fill="FFFFFF"/>
          </w:tcPr>
          <w:p w:rsidR="00945C3D" w:rsidRDefault="00945C3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line="260" w:lineRule="auto"/>
              <w:ind w:left="267" w:right="140" w:hanging="270"/>
              <w:rPr>
                <w:color w:val="000000"/>
              </w:rPr>
            </w:pPr>
            <w:r>
              <w:rPr>
                <w:color w:val="000000"/>
              </w:rPr>
              <w:t>Student Printing</w:t>
            </w:r>
          </w:p>
        </w:tc>
        <w:tc>
          <w:tcPr>
            <w:tcW w:w="1723" w:type="dxa"/>
            <w:shd w:val="clear" w:color="auto" w:fill="FFFFFF"/>
          </w:tcPr>
          <w:p w:rsidR="00945C3D" w:rsidRDefault="00945C3D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945C3D" w:rsidRDefault="00945C3D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945C3D" w:rsidRDefault="00945C3D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267" w:right="140" w:hanging="270"/>
              <w:rPr>
                <w:color w:val="000000"/>
              </w:rPr>
            </w:pPr>
            <w:bookmarkStart w:id="1" w:name="_heading=h.pifbs9rim41r" w:colFirst="0" w:colLast="0"/>
            <w:bookmarkEnd w:id="1"/>
            <w:r>
              <w:rPr>
                <w:color w:val="000000"/>
              </w:rPr>
              <w:t>District Accessibility Capacity Model (</w:t>
            </w:r>
            <w:hyperlink r:id="rId12" w:history="1">
              <w:r w:rsidRPr="00076174">
                <w:rPr>
                  <w:rStyle w:val="Hyperlink"/>
                </w:rPr>
                <w:t>ACMM</w:t>
              </w:r>
            </w:hyperlink>
            <w:r>
              <w:rPr>
                <w:color w:val="000000"/>
              </w:rPr>
              <w:t>)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Pr="005C7394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t>Workgroups/Doodle Poll</w:t>
            </w:r>
            <w:r w:rsidR="005C7394">
              <w:t>s (2</w:t>
            </w:r>
            <w:r w:rsidR="005C7394" w:rsidRPr="005C7394">
              <w:rPr>
                <w:vertAlign w:val="superscript"/>
              </w:rPr>
              <w:t>nd</w:t>
            </w:r>
            <w:r w:rsidR="005C7394">
              <w:t xml:space="preserve"> week of the month)</w:t>
            </w:r>
          </w:p>
          <w:p w:rsidR="005C7394" w:rsidRDefault="005C7394" w:rsidP="005C73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left="360" w:right="140"/>
              <w:rPr>
                <w:color w:val="000000"/>
              </w:rPr>
            </w:pPr>
            <w:r>
              <w:rPr>
                <w:color w:val="000000"/>
              </w:rPr>
              <w:t>AI- Wednesday 10 a.m.- 12 p.m.</w:t>
            </w:r>
            <w:r>
              <w:rPr>
                <w:color w:val="000000"/>
              </w:rPr>
              <w:br/>
              <w:t xml:space="preserve">Google to Outlook- </w:t>
            </w:r>
            <w:r w:rsidR="005556D0">
              <w:rPr>
                <w:color w:val="000000"/>
              </w:rPr>
              <w:t>Wednesday, 3-5 p.m.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t>Student and Staff Survey</w:t>
            </w:r>
            <w:r>
              <w:tab/>
            </w:r>
            <w:r>
              <w:tab/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</w:pPr>
            <w:r>
              <w:t>Cybersecurity Fair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Discussion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  <w:tr w:rsidR="005E3C3B">
        <w:tc>
          <w:tcPr>
            <w:tcW w:w="5220" w:type="dxa"/>
            <w:shd w:val="clear" w:color="auto" w:fill="FFFFFF"/>
          </w:tcPr>
          <w:p w:rsidR="005E3C3B" w:rsidRDefault="00722D9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57"/>
              </w:tabs>
              <w:spacing w:after="200" w:line="260" w:lineRule="auto"/>
              <w:ind w:right="140"/>
              <w:rPr>
                <w:color w:val="000000"/>
              </w:rPr>
            </w:pPr>
            <w:r>
              <w:rPr>
                <w:color w:val="000000"/>
              </w:rPr>
              <w:t>Closing Comments/Adjournment</w:t>
            </w:r>
          </w:p>
        </w:tc>
        <w:tc>
          <w:tcPr>
            <w:tcW w:w="1723" w:type="dxa"/>
            <w:shd w:val="clear" w:color="auto" w:fill="FFFFFF"/>
          </w:tcPr>
          <w:p w:rsidR="005E3C3B" w:rsidRDefault="00722D9B">
            <w:pPr>
              <w:spacing w:line="260" w:lineRule="auto"/>
              <w:ind w:right="140"/>
            </w:pPr>
            <w:r>
              <w:t>Procedural</w:t>
            </w:r>
          </w:p>
        </w:tc>
        <w:tc>
          <w:tcPr>
            <w:tcW w:w="2709" w:type="dxa"/>
            <w:shd w:val="clear" w:color="auto" w:fill="FFFFFF"/>
          </w:tcPr>
          <w:p w:rsidR="005E3C3B" w:rsidRDefault="00722D9B">
            <w:pPr>
              <w:tabs>
                <w:tab w:val="left" w:pos="2479"/>
              </w:tabs>
              <w:spacing w:line="260" w:lineRule="auto"/>
              <w:ind w:left="-108" w:right="-100"/>
            </w:pPr>
            <w:r>
              <w:t>Dr. Chelsy Pham</w:t>
            </w:r>
          </w:p>
        </w:tc>
        <w:tc>
          <w:tcPr>
            <w:tcW w:w="1271" w:type="dxa"/>
            <w:shd w:val="clear" w:color="auto" w:fill="FFFFFF"/>
          </w:tcPr>
          <w:p w:rsidR="005E3C3B" w:rsidRDefault="005E3C3B">
            <w:pPr>
              <w:spacing w:line="260" w:lineRule="auto"/>
              <w:ind w:right="-133"/>
            </w:pPr>
          </w:p>
        </w:tc>
      </w:tr>
    </w:tbl>
    <w:p w:rsidR="005E3C3B" w:rsidRDefault="005E3C3B">
      <w:pPr>
        <w:spacing w:before="9" w:after="0" w:line="260" w:lineRule="auto"/>
        <w:ind w:right="140"/>
      </w:pPr>
      <w:bookmarkStart w:id="2" w:name="_GoBack"/>
      <w:bookmarkEnd w:id="2"/>
    </w:p>
    <w:sectPr w:rsidR="005E3C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440" w:right="520" w:bottom="280" w:left="4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670" w:rsidRDefault="00240670">
      <w:pPr>
        <w:spacing w:after="0" w:line="240" w:lineRule="auto"/>
      </w:pPr>
      <w:r>
        <w:separator/>
      </w:r>
    </w:p>
  </w:endnote>
  <w:endnote w:type="continuationSeparator" w:id="0">
    <w:p w:rsidR="00240670" w:rsidRDefault="00240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mbria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722D9B">
    <w:pPr>
      <w:spacing w:before="3" w:after="0" w:line="164" w:lineRule="auto"/>
      <w:ind w:left="720" w:right="1310"/>
      <w:rPr>
        <w:b/>
        <w:color w:val="660033"/>
        <w:sz w:val="16"/>
        <w:szCs w:val="16"/>
      </w:rPr>
    </w:pPr>
    <w:bookmarkStart w:id="3" w:name="_heading=h.zfpsj2cr0026" w:colFirst="0" w:colLast="0"/>
    <w:bookmarkEnd w:id="3"/>
    <w:r>
      <w:rPr>
        <w:b/>
        <w:color w:val="660033"/>
        <w:sz w:val="16"/>
        <w:szCs w:val="16"/>
      </w:rPr>
      <w:t xml:space="preserve">CARING CAMPUS COMMITMENTS:  </w:t>
    </w:r>
    <w:r>
      <w:rPr>
        <w:color w:val="000000"/>
        <w:sz w:val="16"/>
        <w:szCs w:val="16"/>
      </w:rPr>
      <w:t>Ten-Foot Rule, Nametags, Cross-Department Awareness, Warm Referrals, Welcoming Students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VISION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A place where dreams become possibilities.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MISSION STATEMENT</w:t>
    </w:r>
    <w:r>
      <w:rPr>
        <w:color w:val="660033"/>
        <w:sz w:val="16"/>
        <w:szCs w:val="16"/>
      </w:rPr>
      <w:t xml:space="preserve">: </w:t>
    </w:r>
    <w:r>
      <w:rPr>
        <w:color w:val="000000"/>
        <w:sz w:val="16"/>
        <w:szCs w:val="16"/>
      </w:rPr>
      <w:t>We advance social and economic justice through the transformation of education.</w:t>
    </w:r>
  </w:p>
  <w:p w:rsidR="005E3C3B" w:rsidRDefault="00722D9B">
    <w:pPr>
      <w:widowControl/>
      <w:pBdr>
        <w:top w:val="nil"/>
        <w:left w:val="nil"/>
        <w:bottom w:val="nil"/>
        <w:right w:val="nil"/>
        <w:between w:val="nil"/>
      </w:pBdr>
      <w:spacing w:after="0" w:line="240" w:lineRule="auto"/>
      <w:ind w:left="720" w:right="1310"/>
      <w:jc w:val="center"/>
      <w:rPr>
        <w:color w:val="000000"/>
        <w:sz w:val="16"/>
        <w:szCs w:val="16"/>
      </w:rPr>
    </w:pPr>
    <w:r>
      <w:rPr>
        <w:b/>
        <w:color w:val="660033"/>
        <w:sz w:val="16"/>
        <w:szCs w:val="16"/>
      </w:rPr>
      <w:t>VALUES STATEMENT:</w:t>
    </w:r>
    <w:r>
      <w:rPr>
        <w:color w:val="660033"/>
        <w:sz w:val="16"/>
        <w:szCs w:val="16"/>
      </w:rPr>
      <w:t xml:space="preserve"> </w:t>
    </w:r>
    <w:r>
      <w:rPr>
        <w:color w:val="000000"/>
        <w:sz w:val="16"/>
        <w:szCs w:val="16"/>
      </w:rPr>
      <w:t xml:space="preserve">Our core values reflect our deeply ingrained beliefs that guide everything that we do.  When we practice these values, we put students first.  Education, Connection, ¡Si se </w:t>
    </w:r>
    <w:proofErr w:type="spellStart"/>
    <w:r>
      <w:rPr>
        <w:color w:val="000000"/>
        <w:sz w:val="16"/>
        <w:szCs w:val="16"/>
      </w:rPr>
      <w:t>puede</w:t>
    </w:r>
    <w:proofErr w:type="spellEnd"/>
    <w:r>
      <w:rPr>
        <w:color w:val="000000"/>
        <w:sz w:val="16"/>
        <w:szCs w:val="16"/>
      </w:rPr>
      <w:t>! Cultural Wealth, Impact.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670" w:rsidRDefault="00240670">
      <w:pPr>
        <w:spacing w:after="0" w:line="240" w:lineRule="auto"/>
      </w:pPr>
      <w:r>
        <w:separator/>
      </w:r>
    </w:p>
  </w:footnote>
  <w:footnote w:type="continuationSeparator" w:id="0">
    <w:p w:rsidR="00240670" w:rsidRDefault="00240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C3B" w:rsidRDefault="005E3C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691B06"/>
    <w:multiLevelType w:val="multilevel"/>
    <w:tmpl w:val="C4A6A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7339B"/>
    <w:multiLevelType w:val="multilevel"/>
    <w:tmpl w:val="FD10D7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9486D39"/>
    <w:multiLevelType w:val="multilevel"/>
    <w:tmpl w:val="E690B8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3B"/>
    <w:rsid w:val="00076174"/>
    <w:rsid w:val="00240670"/>
    <w:rsid w:val="002C2568"/>
    <w:rsid w:val="005476EE"/>
    <w:rsid w:val="005556D0"/>
    <w:rsid w:val="005C7394"/>
    <w:rsid w:val="005E3C3B"/>
    <w:rsid w:val="00647215"/>
    <w:rsid w:val="00722D9B"/>
    <w:rsid w:val="007F4442"/>
    <w:rsid w:val="00845927"/>
    <w:rsid w:val="008678DC"/>
    <w:rsid w:val="00945C3D"/>
    <w:rsid w:val="00C55915"/>
    <w:rsid w:val="00CD5E51"/>
    <w:rsid w:val="00DB2005"/>
    <w:rsid w:val="00DC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2DB80B-6526-4577-83BA-2FE7A8F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widowControl/>
      <w:autoSpaceDE w:val="0"/>
      <w:autoSpaceDN w:val="0"/>
      <w:adjustRightInd w:val="0"/>
      <w:spacing w:after="0" w:line="240" w:lineRule="auto"/>
    </w:pPr>
    <w:rPr>
      <w:rFonts w:eastAsia="MS Minch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B655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ccaccessibility.org/acmm/goals-mileston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artnellcommunitycollege.box.com/s/h0y2zfvkn5po8haf6wdg8mtdvz9ci0r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hartnellcommunitycollege.box.com/s/74nfqfznle7lp3uxacf233zg7nytsfr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artnellcommunitycollege.box.com/s/sfine40u38dpc10dk07x3y6sulig5qk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G/VtI//OE2nNlEsbk3e43oYWtw==">CgMxLjAyDWgueXpwaHQ3cGJ6dzQyDmgucGlmYnM5cmltNDFyMg5oLnpmcHNqMmNyMDAyNjgAciExS2w2VG1lMVZVR1dzdVU0dnB4aXRPbmhIUjRzWGJGMjE=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307</Words>
  <Characters>1696</Characters>
  <Application>Microsoft Office Word</Application>
  <DocSecurity>0</DocSecurity>
  <Lines>127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Serrano</dc:creator>
  <cp:lastModifiedBy>Vanessa Pixcar</cp:lastModifiedBy>
  <cp:revision>9</cp:revision>
  <dcterms:created xsi:type="dcterms:W3CDTF">2025-09-03T15:20:00Z</dcterms:created>
  <dcterms:modified xsi:type="dcterms:W3CDTF">2025-09-17T15:33:00Z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LastSaved">
    <vt:filetime>2022-10-04T00:00:00Z</vt:filetime>
  </property>
  <property fmtid="{D5CDD505-2E9C-101B-9397-08002B2CF9AE}" pid="4" name="GrammarlyDocumentId">
    <vt:lpwstr>ee11082d17e26b0935afa861e26ff38a63935aeb08e2347c5c6fde421ef88813</vt:lpwstr>
  </property>
</Properties>
</file>